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A4AD" w14:textId="4FBA4887" w:rsidR="00DE29E3" w:rsidRPr="00F0435E" w:rsidRDefault="000F1EF3" w:rsidP="002C6643">
      <w:pPr>
        <w:jc w:val="both"/>
      </w:pPr>
      <w:r>
        <w:rPr>
          <w:noProof/>
          <w:lang w:val="en-GB" w:eastAsia="en-GB"/>
        </w:rPr>
        <w:drawing>
          <wp:anchor distT="0" distB="0" distL="114300" distR="114300" simplePos="0" relativeHeight="251666432" behindDoc="0" locked="0" layoutInCell="1" allowOverlap="1" wp14:anchorId="059E74B1" wp14:editId="53F102C0">
            <wp:simplePos x="0" y="0"/>
            <wp:positionH relativeFrom="column">
              <wp:posOffset>-243205</wp:posOffset>
            </wp:positionH>
            <wp:positionV relativeFrom="paragraph">
              <wp:posOffset>81915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A82D9" w14:textId="1A9EE45C" w:rsidR="00DE29E3" w:rsidRPr="00F0435E" w:rsidRDefault="00463774" w:rsidP="002C6643">
      <w:pPr>
        <w:jc w:val="both"/>
      </w:pPr>
      <w:r>
        <w:rPr>
          <w:noProof/>
          <w:lang w:val="en-GB" w:eastAsia="en-GB"/>
        </w:rPr>
        <mc:AlternateContent>
          <mc:Choice Requires="wps">
            <w:drawing>
              <wp:anchor distT="0" distB="0" distL="114300" distR="114300" simplePos="0" relativeHeight="251660288" behindDoc="0" locked="0" layoutInCell="1" allowOverlap="1" wp14:anchorId="176EC32F" wp14:editId="15FBCFBC">
                <wp:simplePos x="0" y="0"/>
                <wp:positionH relativeFrom="page">
                  <wp:posOffset>171450</wp:posOffset>
                </wp:positionH>
                <wp:positionV relativeFrom="page">
                  <wp:posOffset>1800225</wp:posOffset>
                </wp:positionV>
                <wp:extent cx="5381625" cy="7848600"/>
                <wp:effectExtent l="0" t="0" r="952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1625" cy="784860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2144EC" w14:textId="2D92C44D" w:rsidR="00C12BFF" w:rsidRPr="000C2D87" w:rsidRDefault="000C2D87" w:rsidP="009C7AFA">
                            <w:pPr>
                              <w:pStyle w:val="Titre"/>
                              <w:pBdr>
                                <w:bottom w:val="none" w:sz="0" w:space="0" w:color="auto"/>
                              </w:pBdr>
                              <w:tabs>
                                <w:tab w:val="right" w:pos="7076"/>
                              </w:tabs>
                              <w:ind w:right="412"/>
                              <w:rPr>
                                <w:rFonts w:asciiTheme="minorHAnsi" w:hAnsiTheme="minorHAnsi" w:cstheme="minorHAnsi"/>
                                <w:color w:val="FFFFFF" w:themeColor="background1"/>
                                <w:sz w:val="22"/>
                                <w:szCs w:val="22"/>
                              </w:rPr>
                            </w:pPr>
                            <w:r>
                              <w:rPr>
                                <w:rFonts w:asciiTheme="minorHAnsi" w:hAnsiTheme="minorHAnsi"/>
                                <w:color w:val="FFFFFF" w:themeColor="background1"/>
                                <w:sz w:val="22"/>
                              </w:rPr>
                              <w:t>Aanneming: 17 juni 2022</w:t>
                            </w:r>
                            <w:r>
                              <w:rPr>
                                <w:rFonts w:asciiTheme="minorHAnsi" w:hAnsiTheme="minorHAnsi"/>
                                <w:color w:val="FFFFFF" w:themeColor="background1"/>
                                <w:sz w:val="22"/>
                              </w:rPr>
                              <w:tab/>
                            </w:r>
                            <w:bookmarkStart w:id="0" w:name="_GoBack"/>
                            <w:bookmarkEnd w:id="0"/>
                          </w:p>
                          <w:p w14:paraId="6EDD2B31" w14:textId="40CC03DE" w:rsidR="0090105A" w:rsidRPr="00CB56B0" w:rsidRDefault="006B2F29" w:rsidP="00463774">
                            <w:pPr>
                              <w:pStyle w:val="Titre"/>
                              <w:pBdr>
                                <w:bottom w:val="none" w:sz="0" w:space="0" w:color="auto"/>
                              </w:pBdr>
                              <w:tabs>
                                <w:tab w:val="right" w:pos="7076"/>
                              </w:tabs>
                              <w:spacing w:after="0"/>
                              <w:ind w:right="414"/>
                              <w:jc w:val="right"/>
                              <w:rPr>
                                <w:rFonts w:cs="recommends"/>
                                <w:sz w:val="22"/>
                                <w:szCs w:val="22"/>
                              </w:rPr>
                            </w:pPr>
                            <w:r>
                              <w:rPr>
                                <w:rFonts w:asciiTheme="minorHAnsi" w:hAnsiTheme="minorHAnsi"/>
                                <w:color w:val="FFFFFF" w:themeColor="background1"/>
                                <w:sz w:val="22"/>
                              </w:rPr>
                              <w:tab/>
                              <w:t>GrecoRC4(2022)17</w:t>
                            </w:r>
                          </w:p>
                          <w:p w14:paraId="35CEEFBC"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5ECFDFBA"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67C6DA01"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4FF46320" w14:textId="77777777" w:rsidR="0090105A" w:rsidRPr="008E79F6" w:rsidRDefault="0090105A" w:rsidP="00FC24AC">
                            <w:pPr>
                              <w:pStyle w:val="Titre"/>
                              <w:pBdr>
                                <w:bottom w:val="none" w:sz="0" w:space="0" w:color="auto"/>
                              </w:pBdr>
                              <w:tabs>
                                <w:tab w:val="right" w:pos="7076"/>
                              </w:tabs>
                              <w:ind w:right="412"/>
                              <w:jc w:val="center"/>
                              <w:rPr>
                                <w:rFonts w:ascii="Calibri" w:hAnsi="Calibri" w:cs="Calibri"/>
                                <w:caps/>
                                <w:color w:val="FFFFFF"/>
                                <w:spacing w:val="0"/>
                                <w:kern w:val="0"/>
                                <w:szCs w:val="72"/>
                              </w:rPr>
                            </w:pPr>
                            <w:r>
                              <w:rPr>
                                <w:rFonts w:ascii="Calibri" w:hAnsi="Calibri"/>
                                <w:b/>
                                <w:caps/>
                                <w:color w:val="FFFFFF"/>
                                <w:sz w:val="40"/>
                              </w:rPr>
                              <w:t>VIERDE EVALUATIECYCLUS</w:t>
                            </w:r>
                          </w:p>
                          <w:p w14:paraId="6D8BB1BE" w14:textId="77777777" w:rsidR="0090105A" w:rsidRPr="00463774" w:rsidRDefault="0090105A" w:rsidP="00C12BFF">
                            <w:pPr>
                              <w:tabs>
                                <w:tab w:val="right" w:pos="6946"/>
                              </w:tabs>
                              <w:spacing w:before="240"/>
                              <w:ind w:left="720" w:right="412"/>
                              <w:jc w:val="right"/>
                              <w:rPr>
                                <w:rFonts w:asciiTheme="minorHAnsi" w:hAnsiTheme="minorHAnsi" w:cstheme="minorHAnsi"/>
                                <w:color w:val="FFFFFF"/>
                                <w:sz w:val="22"/>
                                <w:szCs w:val="22"/>
                              </w:rPr>
                            </w:pPr>
                          </w:p>
                          <w:p w14:paraId="232EAE2D" w14:textId="3919E7B8" w:rsidR="0090105A" w:rsidRPr="008E79F6" w:rsidRDefault="0090105A" w:rsidP="00F404E3">
                            <w:pPr>
                              <w:tabs>
                                <w:tab w:val="right" w:pos="6946"/>
                              </w:tabs>
                              <w:spacing w:before="240"/>
                              <w:ind w:left="284" w:right="412"/>
                              <w:jc w:val="center"/>
                              <w:rPr>
                                <w:rFonts w:asciiTheme="minorHAnsi" w:hAnsiTheme="minorHAnsi" w:cstheme="minorHAnsi"/>
                                <w:color w:val="FFFFFF"/>
                                <w:sz w:val="32"/>
                                <w:szCs w:val="21"/>
                              </w:rPr>
                            </w:pPr>
                            <w:r>
                              <w:rPr>
                                <w:rFonts w:asciiTheme="minorHAnsi" w:hAnsiTheme="minorHAnsi"/>
                                <w:color w:val="FFFFFF"/>
                                <w:sz w:val="32"/>
                              </w:rPr>
                              <w:t>Preventie van corruptie ten aanzien van parlementsleden,</w:t>
                            </w:r>
                            <w:r w:rsidR="00136DF6">
                              <w:rPr>
                                <w:rFonts w:asciiTheme="minorHAnsi" w:hAnsiTheme="minorHAnsi"/>
                                <w:color w:val="FFFFFF"/>
                                <w:sz w:val="32"/>
                              </w:rPr>
                              <w:t xml:space="preserve"> </w:t>
                            </w:r>
                            <w:r>
                              <w:rPr>
                                <w:rFonts w:asciiTheme="minorHAnsi" w:hAnsiTheme="minorHAnsi"/>
                                <w:color w:val="FFFFFF"/>
                                <w:sz w:val="32"/>
                              </w:rPr>
                              <w:t>rechters en procureurs</w:t>
                            </w:r>
                          </w:p>
                          <w:p w14:paraId="50DCBA68" w14:textId="77777777" w:rsidR="0090105A" w:rsidRPr="00463774" w:rsidRDefault="0090105A" w:rsidP="00C12BFF">
                            <w:pPr>
                              <w:tabs>
                                <w:tab w:val="right" w:pos="6946"/>
                              </w:tabs>
                              <w:spacing w:before="240"/>
                              <w:ind w:left="1008" w:right="412"/>
                              <w:jc w:val="right"/>
                              <w:rPr>
                                <w:rFonts w:asciiTheme="minorHAnsi" w:hAnsiTheme="minorHAnsi" w:cstheme="minorHAnsi"/>
                                <w:color w:val="FFFFFF"/>
                                <w:sz w:val="36"/>
                              </w:rPr>
                            </w:pPr>
                          </w:p>
                          <w:p w14:paraId="53B8D88D" w14:textId="77777777" w:rsidR="00406BC5" w:rsidRDefault="00406BC5" w:rsidP="00463774">
                            <w:pPr>
                              <w:spacing w:before="240"/>
                              <w:ind w:right="414"/>
                              <w:jc w:val="right"/>
                              <w:rPr>
                                <w:rFonts w:asciiTheme="minorHAnsi" w:hAnsiTheme="minorHAnsi" w:cstheme="minorHAnsi"/>
                                <w:b/>
                                <w:color w:val="FFFFFF"/>
                                <w:sz w:val="40"/>
                                <w:szCs w:val="52"/>
                              </w:rPr>
                            </w:pPr>
                            <w:bookmarkStart w:id="1" w:name="lt_pId036"/>
                          </w:p>
                          <w:p w14:paraId="36700D02" w14:textId="10381CE3" w:rsidR="0090105A" w:rsidRPr="00463774" w:rsidRDefault="00463774" w:rsidP="00F404E3">
                            <w:pPr>
                              <w:spacing w:before="240"/>
                              <w:ind w:right="414"/>
                              <w:jc w:val="center"/>
                              <w:rPr>
                                <w:rFonts w:asciiTheme="minorHAnsi" w:hAnsiTheme="minorHAnsi" w:cstheme="minorHAnsi"/>
                                <w:b/>
                                <w:color w:val="FFFFFF"/>
                                <w:sz w:val="40"/>
                                <w:szCs w:val="52"/>
                              </w:rPr>
                            </w:pPr>
                            <w:r>
                              <w:rPr>
                                <w:rFonts w:asciiTheme="minorHAnsi" w:hAnsiTheme="minorHAnsi"/>
                                <w:b/>
                                <w:color w:val="FFFFFF"/>
                                <w:sz w:val="40"/>
                              </w:rPr>
                              <w:t xml:space="preserve">DERDE </w:t>
                            </w:r>
                            <w:r>
                              <w:rPr>
                                <w:rFonts w:asciiTheme="minorHAnsi" w:hAnsiTheme="minorHAnsi"/>
                                <w:b/>
                                <w:i/>
                                <w:iCs/>
                                <w:color w:val="FFFFFF"/>
                                <w:sz w:val="40"/>
                              </w:rPr>
                              <w:t>TUSSENTIJDS</w:t>
                            </w:r>
                            <w:r>
                              <w:rPr>
                                <w:rFonts w:asciiTheme="minorHAnsi" w:hAnsiTheme="minorHAnsi"/>
                                <w:b/>
                                <w:color w:val="FFFFFF"/>
                                <w:sz w:val="40"/>
                              </w:rPr>
                              <w:t xml:space="preserve"> CONFORMITEITSVERSLAG</w:t>
                            </w:r>
                            <w:bookmarkStart w:id="2" w:name="_Hlk89786870"/>
                            <w:bookmarkEnd w:id="1"/>
                            <w:bookmarkEnd w:id="2"/>
                          </w:p>
                          <w:p w14:paraId="03AFDA79" w14:textId="77777777" w:rsidR="0090105A" w:rsidRPr="00CB56B0" w:rsidRDefault="0090105A" w:rsidP="00F404E3">
                            <w:pPr>
                              <w:pStyle w:val="Titre"/>
                              <w:pBdr>
                                <w:bottom w:val="none" w:sz="0" w:space="0" w:color="auto"/>
                              </w:pBdr>
                              <w:tabs>
                                <w:tab w:val="right" w:pos="7076"/>
                              </w:tabs>
                              <w:spacing w:before="240"/>
                              <w:ind w:right="414"/>
                              <w:jc w:val="center"/>
                              <w:rPr>
                                <w:rFonts w:asciiTheme="minorHAnsi" w:hAnsiTheme="minorHAnsi" w:cstheme="minorHAnsi"/>
                                <w:b/>
                                <w:color w:val="FFFFFF"/>
                                <w:sz w:val="36"/>
                              </w:rPr>
                            </w:pPr>
                            <w:r>
                              <w:rPr>
                                <w:rFonts w:asciiTheme="minorHAnsi" w:hAnsiTheme="minorHAnsi"/>
                                <w:b/>
                                <w:color w:val="FFFFFF"/>
                                <w:sz w:val="40"/>
                              </w:rPr>
                              <w:t>BELGIË</w:t>
                            </w:r>
                          </w:p>
                          <w:p w14:paraId="0C5D1825" w14:textId="77777777" w:rsidR="0090105A" w:rsidRDefault="0090105A" w:rsidP="00DE29E3">
                            <w:pPr>
                              <w:spacing w:before="240"/>
                              <w:ind w:left="1008" w:right="412"/>
                              <w:jc w:val="right"/>
                              <w:rPr>
                                <w:rFonts w:asciiTheme="minorHAnsi" w:hAnsiTheme="minorHAnsi" w:cstheme="minorHAnsi"/>
                                <w:color w:val="FFFFFF"/>
                              </w:rPr>
                            </w:pPr>
                          </w:p>
                          <w:p w14:paraId="6A740227" w14:textId="77777777" w:rsidR="0090105A" w:rsidRDefault="0090105A" w:rsidP="00DE29E3">
                            <w:pPr>
                              <w:spacing w:before="240"/>
                              <w:ind w:left="1008" w:right="412"/>
                              <w:jc w:val="right"/>
                              <w:rPr>
                                <w:rFonts w:asciiTheme="minorHAnsi" w:hAnsiTheme="minorHAnsi" w:cstheme="minorHAnsi"/>
                                <w:color w:val="FFFFFF"/>
                              </w:rPr>
                            </w:pPr>
                          </w:p>
                          <w:p w14:paraId="7F8393A4" w14:textId="2DAC28A4" w:rsidR="0090105A" w:rsidRPr="00B00AE4" w:rsidRDefault="000C2D87" w:rsidP="00E86D85">
                            <w:pPr>
                              <w:spacing w:before="240"/>
                              <w:ind w:left="1008" w:right="412"/>
                              <w:jc w:val="right"/>
                              <w:rPr>
                                <w:rFonts w:cs="Calibri"/>
                                <w:color w:val="FFFFFF"/>
                                <w:sz w:val="22"/>
                                <w:szCs w:val="22"/>
                              </w:rPr>
                            </w:pPr>
                            <w:r>
                              <w:rPr>
                                <w:rFonts w:asciiTheme="minorHAnsi" w:hAnsiTheme="minorHAnsi"/>
                                <w:color w:val="FFFFFF"/>
                                <w:sz w:val="22"/>
                              </w:rPr>
                              <w:t>Aangenomen door de GRECO tijdens de 91ste plenaire vergadering (Straatsburg, 13-17 juni 2022)</w:t>
                            </w: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C32F" id="Rectangle 47" o:spid="_x0000_s1026" style="position:absolute;left:0;text-align:left;margin-left:13.5pt;margin-top:141.75pt;width:423.75pt;height:6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" fillcolor="#4f81bd" stroked="f" strokeweight="2pt">
                <v:path arrowok="t"/>
                <v:textbox inset="21.6pt,1in,21.6pt">
                  <w:txbxContent>
                    <w:p w14:paraId="072144EC" w14:textId="2D92C44D" w:rsidR="00C12BFF" w:rsidRPr="000C2D87" w:rsidRDefault="000C2D87" w:rsidP="009C7AFA">
                      <w:pPr>
                        <w:pStyle w:val="Titre"/>
                        <w:pBdr>
                          <w:bottom w:val="none" w:sz="0" w:space="0" w:color="auto"/>
                        </w:pBdr>
                        <w:tabs>
                          <w:tab w:val="right" w:pos="7076"/>
                        </w:tabs>
                        <w:ind w:right="412"/>
                        <w:rPr>
                          <w:rFonts w:asciiTheme="minorHAnsi" w:hAnsiTheme="minorHAnsi" w:cstheme="minorHAnsi"/>
                          <w:color w:val="FFFFFF" w:themeColor="background1"/>
                          <w:sz w:val="22"/>
                          <w:szCs w:val="22"/>
                        </w:rPr>
                      </w:pPr>
                      <w:r>
                        <w:rPr>
                          <w:rFonts w:asciiTheme="minorHAnsi" w:hAnsiTheme="minorHAnsi"/>
                          <w:color w:val="FFFFFF" w:themeColor="background1"/>
                          <w:sz w:val="22"/>
                        </w:rPr>
                        <w:t>Aanneming: 17 juni 2022</w:t>
                      </w:r>
                      <w:r>
                        <w:rPr>
                          <w:rFonts w:asciiTheme="minorHAnsi" w:hAnsiTheme="minorHAnsi"/>
                          <w:color w:val="FFFFFF" w:themeColor="background1"/>
                          <w:sz w:val="22"/>
                        </w:rPr>
                        <w:tab/>
                      </w:r>
                      <w:bookmarkStart w:id="3" w:name="_GoBack"/>
                      <w:bookmarkEnd w:id="3"/>
                    </w:p>
                    <w:p w14:paraId="6EDD2B31" w14:textId="40CC03DE" w:rsidR="0090105A" w:rsidRPr="00CB56B0" w:rsidRDefault="006B2F29" w:rsidP="00463774">
                      <w:pPr>
                        <w:pStyle w:val="Titre"/>
                        <w:pBdr>
                          <w:bottom w:val="none" w:sz="0" w:space="0" w:color="auto"/>
                        </w:pBdr>
                        <w:tabs>
                          <w:tab w:val="right" w:pos="7076"/>
                        </w:tabs>
                        <w:spacing w:after="0"/>
                        <w:ind w:right="414"/>
                        <w:jc w:val="right"/>
                        <w:rPr>
                          <w:rFonts w:cs="recommends"/>
                          <w:sz w:val="22"/>
                          <w:szCs w:val="22"/>
                        </w:rPr>
                      </w:pPr>
                      <w:r>
                        <w:rPr>
                          <w:rFonts w:asciiTheme="minorHAnsi" w:hAnsiTheme="minorHAnsi"/>
                          <w:color w:val="FFFFFF" w:themeColor="background1"/>
                          <w:sz w:val="22"/>
                        </w:rPr>
                        <w:tab/>
                        <w:t>GrecoRC4(2022)17</w:t>
                      </w:r>
                    </w:p>
                    <w:p w14:paraId="35CEEFBC"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5ECFDFBA"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67C6DA01"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4FF46320" w14:textId="77777777" w:rsidR="0090105A" w:rsidRPr="008E79F6" w:rsidRDefault="0090105A" w:rsidP="00FC24AC">
                      <w:pPr>
                        <w:pStyle w:val="Titre"/>
                        <w:pBdr>
                          <w:bottom w:val="none" w:sz="0" w:space="0" w:color="auto"/>
                        </w:pBdr>
                        <w:tabs>
                          <w:tab w:val="right" w:pos="7076"/>
                        </w:tabs>
                        <w:ind w:right="412"/>
                        <w:jc w:val="center"/>
                        <w:rPr>
                          <w:rFonts w:ascii="Calibri" w:hAnsi="Calibri" w:cs="Calibri"/>
                          <w:caps/>
                          <w:color w:val="FFFFFF"/>
                          <w:spacing w:val="0"/>
                          <w:kern w:val="0"/>
                          <w:szCs w:val="72"/>
                        </w:rPr>
                      </w:pPr>
                      <w:r>
                        <w:rPr>
                          <w:rFonts w:ascii="Calibri" w:hAnsi="Calibri"/>
                          <w:b/>
                          <w:caps/>
                          <w:color w:val="FFFFFF"/>
                          <w:sz w:val="40"/>
                        </w:rPr>
                        <w:t>VIERDE EVALUATIECYCLUS</w:t>
                      </w:r>
                    </w:p>
                    <w:p w14:paraId="6D8BB1BE" w14:textId="77777777" w:rsidR="0090105A" w:rsidRPr="00463774" w:rsidRDefault="0090105A" w:rsidP="00C12BFF">
                      <w:pPr>
                        <w:tabs>
                          <w:tab w:val="right" w:pos="6946"/>
                        </w:tabs>
                        <w:spacing w:before="240"/>
                        <w:ind w:left="720" w:right="412"/>
                        <w:jc w:val="right"/>
                        <w:rPr>
                          <w:rFonts w:asciiTheme="minorHAnsi" w:hAnsiTheme="minorHAnsi" w:cstheme="minorHAnsi"/>
                          <w:color w:val="FFFFFF"/>
                          <w:sz w:val="22"/>
                          <w:szCs w:val="22"/>
                        </w:rPr>
                      </w:pPr>
                    </w:p>
                    <w:p w14:paraId="232EAE2D" w14:textId="3919E7B8" w:rsidR="0090105A" w:rsidRPr="008E79F6" w:rsidRDefault="0090105A" w:rsidP="00F404E3">
                      <w:pPr>
                        <w:tabs>
                          <w:tab w:val="right" w:pos="6946"/>
                        </w:tabs>
                        <w:spacing w:before="240"/>
                        <w:ind w:left="284" w:right="412"/>
                        <w:jc w:val="center"/>
                        <w:rPr>
                          <w:rFonts w:asciiTheme="minorHAnsi" w:hAnsiTheme="minorHAnsi" w:cstheme="minorHAnsi"/>
                          <w:color w:val="FFFFFF"/>
                          <w:sz w:val="32"/>
                          <w:szCs w:val="21"/>
                        </w:rPr>
                      </w:pPr>
                      <w:r>
                        <w:rPr>
                          <w:rFonts w:asciiTheme="minorHAnsi" w:hAnsiTheme="minorHAnsi"/>
                          <w:color w:val="FFFFFF"/>
                          <w:sz w:val="32"/>
                        </w:rPr>
                        <w:t>Preventie van corruptie ten aanzien van parlementsleden,</w:t>
                      </w:r>
                      <w:r w:rsidR="00136DF6">
                        <w:rPr>
                          <w:rFonts w:asciiTheme="minorHAnsi" w:hAnsiTheme="minorHAnsi"/>
                          <w:color w:val="FFFFFF"/>
                          <w:sz w:val="32"/>
                        </w:rPr>
                        <w:t xml:space="preserve"> </w:t>
                      </w:r>
                      <w:r>
                        <w:rPr>
                          <w:rFonts w:asciiTheme="minorHAnsi" w:hAnsiTheme="minorHAnsi"/>
                          <w:color w:val="FFFFFF"/>
                          <w:sz w:val="32"/>
                        </w:rPr>
                        <w:t>rechters en procureurs</w:t>
                      </w:r>
                    </w:p>
                    <w:p w14:paraId="50DCBA68" w14:textId="77777777" w:rsidR="0090105A" w:rsidRPr="00463774" w:rsidRDefault="0090105A" w:rsidP="00C12BFF">
                      <w:pPr>
                        <w:tabs>
                          <w:tab w:val="right" w:pos="6946"/>
                        </w:tabs>
                        <w:spacing w:before="240"/>
                        <w:ind w:left="1008" w:right="412"/>
                        <w:jc w:val="right"/>
                        <w:rPr>
                          <w:rFonts w:asciiTheme="minorHAnsi" w:hAnsiTheme="minorHAnsi" w:cstheme="minorHAnsi"/>
                          <w:color w:val="FFFFFF"/>
                          <w:sz w:val="36"/>
                        </w:rPr>
                      </w:pPr>
                    </w:p>
                    <w:p w14:paraId="53B8D88D" w14:textId="77777777" w:rsidR="00406BC5" w:rsidRDefault="00406BC5" w:rsidP="00463774">
                      <w:pPr>
                        <w:spacing w:before="240"/>
                        <w:ind w:right="414"/>
                        <w:jc w:val="right"/>
                        <w:rPr>
                          <w:rFonts w:asciiTheme="minorHAnsi" w:hAnsiTheme="minorHAnsi" w:cstheme="minorHAnsi"/>
                          <w:b/>
                          <w:color w:val="FFFFFF"/>
                          <w:sz w:val="40"/>
                          <w:szCs w:val="52"/>
                        </w:rPr>
                      </w:pPr>
                      <w:bookmarkStart w:id="4" w:name="lt_pId036"/>
                    </w:p>
                    <w:p w14:paraId="36700D02" w14:textId="10381CE3" w:rsidR="0090105A" w:rsidRPr="00463774" w:rsidRDefault="00463774" w:rsidP="00F404E3">
                      <w:pPr>
                        <w:spacing w:before="240"/>
                        <w:ind w:right="414"/>
                        <w:jc w:val="center"/>
                        <w:rPr>
                          <w:rFonts w:asciiTheme="minorHAnsi" w:hAnsiTheme="minorHAnsi" w:cstheme="minorHAnsi"/>
                          <w:b/>
                          <w:color w:val="FFFFFF"/>
                          <w:sz w:val="40"/>
                          <w:szCs w:val="52"/>
                        </w:rPr>
                      </w:pPr>
                      <w:r>
                        <w:rPr>
                          <w:rFonts w:asciiTheme="minorHAnsi" w:hAnsiTheme="minorHAnsi"/>
                          <w:b/>
                          <w:color w:val="FFFFFF"/>
                          <w:sz w:val="40"/>
                        </w:rPr>
                        <w:t xml:space="preserve">DERDE </w:t>
                      </w:r>
                      <w:r>
                        <w:rPr>
                          <w:rFonts w:asciiTheme="minorHAnsi" w:hAnsiTheme="minorHAnsi"/>
                          <w:b/>
                          <w:i/>
                          <w:iCs/>
                          <w:color w:val="FFFFFF"/>
                          <w:sz w:val="40"/>
                        </w:rPr>
                        <w:t>TUSSENTIJDS</w:t>
                      </w:r>
                      <w:r>
                        <w:rPr>
                          <w:rFonts w:asciiTheme="minorHAnsi" w:hAnsiTheme="minorHAnsi"/>
                          <w:b/>
                          <w:color w:val="FFFFFF"/>
                          <w:sz w:val="40"/>
                        </w:rPr>
                        <w:t xml:space="preserve"> CONFORMITEITSVERSLAG</w:t>
                      </w:r>
                      <w:bookmarkStart w:id="5" w:name="_Hlk89786870"/>
                      <w:bookmarkEnd w:id="4"/>
                      <w:bookmarkEnd w:id="5"/>
                    </w:p>
                    <w:p w14:paraId="03AFDA79" w14:textId="77777777" w:rsidR="0090105A" w:rsidRPr="00CB56B0" w:rsidRDefault="0090105A" w:rsidP="00F404E3">
                      <w:pPr>
                        <w:pStyle w:val="Titre"/>
                        <w:pBdr>
                          <w:bottom w:val="none" w:sz="0" w:space="0" w:color="auto"/>
                        </w:pBdr>
                        <w:tabs>
                          <w:tab w:val="right" w:pos="7076"/>
                        </w:tabs>
                        <w:spacing w:before="240"/>
                        <w:ind w:right="414"/>
                        <w:jc w:val="center"/>
                        <w:rPr>
                          <w:rFonts w:asciiTheme="minorHAnsi" w:hAnsiTheme="minorHAnsi" w:cstheme="minorHAnsi"/>
                          <w:b/>
                          <w:color w:val="FFFFFF"/>
                          <w:sz w:val="36"/>
                        </w:rPr>
                      </w:pPr>
                      <w:r>
                        <w:rPr>
                          <w:rFonts w:asciiTheme="minorHAnsi" w:hAnsiTheme="minorHAnsi"/>
                          <w:b/>
                          <w:color w:val="FFFFFF"/>
                          <w:sz w:val="40"/>
                        </w:rPr>
                        <w:t>BELGIË</w:t>
                      </w:r>
                    </w:p>
                    <w:p w14:paraId="0C5D1825" w14:textId="77777777" w:rsidR="0090105A" w:rsidRDefault="0090105A" w:rsidP="00DE29E3">
                      <w:pPr>
                        <w:spacing w:before="240"/>
                        <w:ind w:left="1008" w:right="412"/>
                        <w:jc w:val="right"/>
                        <w:rPr>
                          <w:rFonts w:asciiTheme="minorHAnsi" w:hAnsiTheme="minorHAnsi" w:cstheme="minorHAnsi"/>
                          <w:color w:val="FFFFFF"/>
                        </w:rPr>
                      </w:pPr>
                    </w:p>
                    <w:p w14:paraId="6A740227" w14:textId="77777777" w:rsidR="0090105A" w:rsidRDefault="0090105A" w:rsidP="00DE29E3">
                      <w:pPr>
                        <w:spacing w:before="240"/>
                        <w:ind w:left="1008" w:right="412"/>
                        <w:jc w:val="right"/>
                        <w:rPr>
                          <w:rFonts w:asciiTheme="minorHAnsi" w:hAnsiTheme="minorHAnsi" w:cstheme="minorHAnsi"/>
                          <w:color w:val="FFFFFF"/>
                        </w:rPr>
                      </w:pPr>
                    </w:p>
                    <w:p w14:paraId="7F8393A4" w14:textId="2DAC28A4" w:rsidR="0090105A" w:rsidRPr="00B00AE4" w:rsidRDefault="000C2D87" w:rsidP="00E86D85">
                      <w:pPr>
                        <w:spacing w:before="240"/>
                        <w:ind w:left="1008" w:right="412"/>
                        <w:jc w:val="right"/>
                        <w:rPr>
                          <w:rFonts w:cs="Calibri"/>
                          <w:color w:val="FFFFFF"/>
                          <w:sz w:val="22"/>
                          <w:szCs w:val="22"/>
                        </w:rPr>
                      </w:pPr>
                      <w:r>
                        <w:rPr>
                          <w:rFonts w:asciiTheme="minorHAnsi" w:hAnsiTheme="minorHAnsi"/>
                          <w:color w:val="FFFFFF"/>
                          <w:sz w:val="22"/>
                        </w:rPr>
                        <w:t>Aangenomen door de GRECO tijdens de 91ste plenaire vergadering (Straatsburg, 13-17 juni 2022)</w:t>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43C4393" wp14:editId="0B3FDCE5">
                <wp:simplePos x="0" y="0"/>
                <wp:positionH relativeFrom="page">
                  <wp:posOffset>5600700</wp:posOffset>
                </wp:positionH>
                <wp:positionV relativeFrom="page">
                  <wp:posOffset>295275</wp:posOffset>
                </wp:positionV>
                <wp:extent cx="1825625" cy="1020127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5625" cy="102012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8133F"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V</w:t>
                            </w:r>
                          </w:p>
                          <w:p w14:paraId="6F6721C3"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I</w:t>
                            </w:r>
                          </w:p>
                          <w:p w14:paraId="628739C9"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E</w:t>
                            </w:r>
                          </w:p>
                          <w:p w14:paraId="78C0CF46"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R</w:t>
                            </w:r>
                          </w:p>
                          <w:p w14:paraId="17DCA8EB"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D</w:t>
                            </w:r>
                          </w:p>
                          <w:p w14:paraId="0748F5D9"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E</w:t>
                            </w:r>
                          </w:p>
                          <w:p w14:paraId="150C3B55" w14:textId="238FBC45" w:rsidR="0090105A" w:rsidRDefault="0090105A" w:rsidP="00414E33">
                            <w:pPr>
                              <w:jc w:val="center"/>
                              <w:rPr>
                                <w:rFonts w:ascii="Calibri" w:hAnsi="Calibri" w:cs="Calibri"/>
                                <w:b/>
                                <w:noProof/>
                                <w:color w:val="FFFFFF"/>
                                <w:sz w:val="48"/>
                                <w:szCs w:val="42"/>
                                <w:lang w:val="de-DE"/>
                              </w:rPr>
                            </w:pPr>
                          </w:p>
                          <w:p w14:paraId="114CF9E2"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E</w:t>
                            </w:r>
                          </w:p>
                          <w:p w14:paraId="511B09F3"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V</w:t>
                            </w:r>
                          </w:p>
                          <w:p w14:paraId="26B49829"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A</w:t>
                            </w:r>
                          </w:p>
                          <w:p w14:paraId="793E159D"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L</w:t>
                            </w:r>
                          </w:p>
                          <w:p w14:paraId="5DD01521" w14:textId="77777777" w:rsidR="0090105A" w:rsidRPr="00A6345A" w:rsidRDefault="0090105A" w:rsidP="00414E33">
                            <w:pPr>
                              <w:jc w:val="center"/>
                              <w:rPr>
                                <w:rFonts w:ascii="Calibri" w:hAnsi="Calibri" w:cs="Calibri"/>
                                <w:b/>
                                <w:noProof/>
                                <w:color w:val="FFFFFF"/>
                                <w:sz w:val="48"/>
                                <w:szCs w:val="42"/>
                                <w:lang w:val="de-DE"/>
                              </w:rPr>
                            </w:pPr>
                            <w:r w:rsidRPr="00A6345A">
                              <w:rPr>
                                <w:rFonts w:ascii="Calibri" w:hAnsi="Calibri"/>
                                <w:b/>
                                <w:color w:val="FFFFFF"/>
                                <w:sz w:val="48"/>
                                <w:lang w:val="de-DE"/>
                              </w:rPr>
                              <w:t>U</w:t>
                            </w:r>
                          </w:p>
                          <w:p w14:paraId="12C77ED0"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A</w:t>
                            </w:r>
                          </w:p>
                          <w:p w14:paraId="0A58B3A7"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T</w:t>
                            </w:r>
                          </w:p>
                          <w:p w14:paraId="3B5F2C68"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I</w:t>
                            </w:r>
                          </w:p>
                          <w:p w14:paraId="4D375C56"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E</w:t>
                            </w:r>
                          </w:p>
                          <w:p w14:paraId="5FDE1ED0"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C</w:t>
                            </w:r>
                          </w:p>
                          <w:p w14:paraId="67510E04"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Y</w:t>
                            </w:r>
                          </w:p>
                          <w:p w14:paraId="2B93A458"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C</w:t>
                            </w:r>
                          </w:p>
                          <w:p w14:paraId="5A14853B"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L</w:t>
                            </w:r>
                          </w:p>
                          <w:p w14:paraId="60480A4A"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U</w:t>
                            </w:r>
                          </w:p>
                          <w:p w14:paraId="46BF9B43"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S</w:t>
                            </w:r>
                          </w:p>
                          <w:p w14:paraId="3FB44623" w14:textId="2F9C7663" w:rsidR="0090105A" w:rsidRPr="006C6E74" w:rsidRDefault="0090105A" w:rsidP="00414E33">
                            <w:pPr>
                              <w:jc w:val="center"/>
                              <w:rPr>
                                <w:rFonts w:ascii="Calibri" w:hAnsi="Calibri" w:cs="Calibri"/>
                                <w:b/>
                                <w:color w:val="FFFFFF"/>
                                <w:sz w:val="48"/>
                                <w:szCs w:val="42"/>
                                <w:lang w:val="en-GB"/>
                              </w:rPr>
                            </w:pPr>
                          </w:p>
                          <w:p w14:paraId="01F37CAB" w14:textId="20768C4F" w:rsidR="0090105A" w:rsidRPr="00414E33" w:rsidRDefault="0090105A" w:rsidP="00414E33">
                            <w:pPr>
                              <w:jc w:val="center"/>
                              <w:rPr>
                                <w:rFonts w:ascii="Calibri" w:hAnsi="Calibri" w:cs="Calibri"/>
                                <w:b/>
                                <w:noProof/>
                                <w:color w:val="FFFFFF"/>
                                <w:sz w:val="48"/>
                                <w:szCs w:val="42"/>
                              </w:rPr>
                            </w:pPr>
                          </w:p>
                          <w:p w14:paraId="75025853" w14:textId="7EF16C17" w:rsidR="0090105A" w:rsidRPr="00414E33" w:rsidRDefault="0090105A" w:rsidP="00414E33">
                            <w:pPr>
                              <w:jc w:val="center"/>
                              <w:rPr>
                                <w:rFonts w:ascii="Calibri" w:hAnsi="Calibri" w:cs="Calibri"/>
                                <w:b/>
                                <w:sz w:val="52"/>
                                <w:szCs w:val="48"/>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43C4393" id="Rectangle 48" o:spid="_x0000_s1027" style="position:absolute;left:0;text-align:left;margin-left:441pt;margin-top:23.25pt;width:143.75pt;height:803.25pt;z-index:251662336;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" fillcolor="#1f497d [3215]" stroked="f" strokeweight="2pt">
                <v:path arrowok="t"/>
                <v:textbox inset="14.4pt,,14.4pt">
                  <w:txbxContent>
                    <w:p w14:paraId="0FD8133F"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V</w:t>
                      </w:r>
                    </w:p>
                    <w:p w14:paraId="6F6721C3"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I</w:t>
                      </w:r>
                    </w:p>
                    <w:p w14:paraId="628739C9"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E</w:t>
                      </w:r>
                    </w:p>
                    <w:p w14:paraId="78C0CF46"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R</w:t>
                      </w:r>
                    </w:p>
                    <w:p w14:paraId="17DCA8EB"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D</w:t>
                      </w:r>
                    </w:p>
                    <w:p w14:paraId="0748F5D9"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E</w:t>
                      </w:r>
                    </w:p>
                    <w:p w14:paraId="150C3B55" w14:textId="238FBC45" w:rsidR="0090105A" w:rsidRDefault="0090105A" w:rsidP="00414E33">
                      <w:pPr>
                        <w:jc w:val="center"/>
                        <w:rPr>
                          <w:rFonts w:ascii="Calibri" w:hAnsi="Calibri" w:cs="Calibri"/>
                          <w:b/>
                          <w:noProof/>
                          <w:color w:val="FFFFFF"/>
                          <w:sz w:val="48"/>
                          <w:szCs w:val="42"/>
                          <w:lang w:val="de-DE"/>
                        </w:rPr>
                      </w:pPr>
                    </w:p>
                    <w:p w14:paraId="114CF9E2"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E</w:t>
                      </w:r>
                    </w:p>
                    <w:p w14:paraId="511B09F3"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V</w:t>
                      </w:r>
                    </w:p>
                    <w:p w14:paraId="26B49829"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A</w:t>
                      </w:r>
                    </w:p>
                    <w:p w14:paraId="793E159D" w14:textId="77777777" w:rsidR="0090105A" w:rsidRPr="006C6E74" w:rsidRDefault="0090105A" w:rsidP="00414E33">
                      <w:pPr>
                        <w:jc w:val="center"/>
                        <w:rPr>
                          <w:rFonts w:ascii="Calibri" w:hAnsi="Calibri" w:cs="Calibri"/>
                          <w:b/>
                          <w:noProof/>
                          <w:color w:val="FFFFFF"/>
                          <w:sz w:val="48"/>
                          <w:szCs w:val="42"/>
                          <w:lang w:val="de-DE"/>
                        </w:rPr>
                      </w:pPr>
                      <w:r w:rsidRPr="006C6E74">
                        <w:rPr>
                          <w:rFonts w:ascii="Calibri" w:hAnsi="Calibri"/>
                          <w:b/>
                          <w:color w:val="FFFFFF"/>
                          <w:sz w:val="48"/>
                          <w:lang w:val="de-DE"/>
                        </w:rPr>
                        <w:t>L</w:t>
                      </w:r>
                    </w:p>
                    <w:p w14:paraId="5DD01521"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U</w:t>
                      </w:r>
                    </w:p>
                    <w:p w14:paraId="12C77ED0"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A</w:t>
                      </w:r>
                    </w:p>
                    <w:p w14:paraId="0A58B3A7"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T</w:t>
                      </w:r>
                    </w:p>
                    <w:p w14:paraId="3B5F2C68" w14:textId="77777777" w:rsidR="0090105A" w:rsidRPr="006C6E74" w:rsidRDefault="0090105A" w:rsidP="00414E33">
                      <w:pPr>
                        <w:jc w:val="center"/>
                        <w:rPr>
                          <w:rFonts w:ascii="Calibri" w:hAnsi="Calibri" w:cs="Calibri"/>
                          <w:b/>
                          <w:noProof/>
                          <w:color w:val="FFFFFF"/>
                          <w:sz w:val="48"/>
                          <w:szCs w:val="42"/>
                          <w:lang w:val="en-GB"/>
                        </w:rPr>
                      </w:pPr>
                      <w:r w:rsidRPr="006C6E74">
                        <w:rPr>
                          <w:rFonts w:ascii="Calibri" w:hAnsi="Calibri"/>
                          <w:b/>
                          <w:color w:val="FFFFFF"/>
                          <w:sz w:val="48"/>
                          <w:lang w:val="en-GB"/>
                        </w:rPr>
                        <w:t>I</w:t>
                      </w:r>
                    </w:p>
                    <w:p w14:paraId="4D375C56"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E</w:t>
                      </w:r>
                    </w:p>
                    <w:p w14:paraId="5FDE1ED0"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C</w:t>
                      </w:r>
                    </w:p>
                    <w:p w14:paraId="67510E04"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Y</w:t>
                      </w:r>
                    </w:p>
                    <w:p w14:paraId="2B93A458"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C</w:t>
                      </w:r>
                    </w:p>
                    <w:p w14:paraId="5A14853B"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L</w:t>
                      </w:r>
                    </w:p>
                    <w:p w14:paraId="60480A4A"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U</w:t>
                      </w:r>
                    </w:p>
                    <w:p w14:paraId="46BF9B43" w14:textId="77777777" w:rsidR="0090105A" w:rsidRPr="006C6E74" w:rsidRDefault="0090105A" w:rsidP="00414E33">
                      <w:pPr>
                        <w:jc w:val="center"/>
                        <w:rPr>
                          <w:rFonts w:ascii="Calibri" w:hAnsi="Calibri" w:cs="Calibri"/>
                          <w:b/>
                          <w:color w:val="FFFFFF"/>
                          <w:sz w:val="48"/>
                          <w:szCs w:val="42"/>
                          <w:lang w:val="en-GB"/>
                        </w:rPr>
                      </w:pPr>
                      <w:r w:rsidRPr="006C6E74">
                        <w:rPr>
                          <w:rFonts w:ascii="Calibri" w:hAnsi="Calibri"/>
                          <w:b/>
                          <w:color w:val="FFFFFF"/>
                          <w:sz w:val="48"/>
                          <w:lang w:val="en-GB"/>
                        </w:rPr>
                        <w:t>S</w:t>
                      </w:r>
                    </w:p>
                    <w:p w14:paraId="3FB44623" w14:textId="2F9C7663" w:rsidR="0090105A" w:rsidRPr="006C6E74" w:rsidRDefault="0090105A" w:rsidP="00414E33">
                      <w:pPr>
                        <w:jc w:val="center"/>
                        <w:rPr>
                          <w:rFonts w:ascii="Calibri" w:hAnsi="Calibri" w:cs="Calibri"/>
                          <w:b/>
                          <w:color w:val="FFFFFF"/>
                          <w:sz w:val="48"/>
                          <w:szCs w:val="42"/>
                          <w:lang w:val="en-GB"/>
                        </w:rPr>
                      </w:pPr>
                    </w:p>
                    <w:p w14:paraId="01F37CAB" w14:textId="20768C4F" w:rsidR="0090105A" w:rsidRPr="00414E33" w:rsidRDefault="0090105A" w:rsidP="00414E33">
                      <w:pPr>
                        <w:jc w:val="center"/>
                        <w:rPr>
                          <w:rFonts w:ascii="Calibri" w:hAnsi="Calibri" w:cs="Calibri"/>
                          <w:b/>
                          <w:noProof/>
                          <w:color w:val="FFFFFF"/>
                          <w:sz w:val="48"/>
                          <w:szCs w:val="42"/>
                        </w:rPr>
                      </w:pPr>
                    </w:p>
                    <w:p w14:paraId="75025853" w14:textId="7EF16C17" w:rsidR="0090105A" w:rsidRPr="00414E33" w:rsidRDefault="0090105A" w:rsidP="00414E33">
                      <w:pPr>
                        <w:jc w:val="center"/>
                        <w:rPr>
                          <w:rFonts w:ascii="Calibri" w:hAnsi="Calibri" w:cs="Calibri"/>
                          <w:b/>
                          <w:sz w:val="52"/>
                          <w:szCs w:val="48"/>
                        </w:rPr>
                      </w:pPr>
                    </w:p>
                  </w:txbxContent>
                </v:textbox>
                <w10:wrap anchorx="page" anchory="page"/>
              </v:rect>
            </w:pict>
          </mc:Fallback>
        </mc:AlternateContent>
      </w:r>
      <w:r>
        <w:br w:type="page"/>
      </w:r>
    </w:p>
    <w:p w14:paraId="6CFA9E5D" w14:textId="77777777" w:rsidR="00DE29E3" w:rsidRPr="00F0435E" w:rsidRDefault="00DE29E3" w:rsidP="002C6643">
      <w:pPr>
        <w:tabs>
          <w:tab w:val="left" w:pos="567"/>
        </w:tabs>
        <w:jc w:val="both"/>
        <w:rPr>
          <w:rFonts w:ascii="Verdana" w:hAnsi="Verdana"/>
          <w:sz w:val="20"/>
        </w:rPr>
        <w:sectPr w:rsidR="00DE29E3" w:rsidRPr="00F0435E" w:rsidSect="00A7757E">
          <w:footerReference w:type="even" r:id="rId16"/>
          <w:footerReference w:type="default" r:id="rId17"/>
          <w:footerReference w:type="first" r:id="rId18"/>
          <w:pgSz w:w="11907" w:h="16839" w:code="9"/>
          <w:pgMar w:top="180" w:right="1418" w:bottom="899" w:left="1418" w:header="567" w:footer="290" w:gutter="0"/>
          <w:cols w:space="720"/>
          <w:titlePg/>
          <w:docGrid w:linePitch="326"/>
        </w:sectPr>
      </w:pPr>
    </w:p>
    <w:p w14:paraId="659A4667" w14:textId="77777777" w:rsidR="007C6961" w:rsidRPr="00F0435E" w:rsidRDefault="007C6961" w:rsidP="002C6643">
      <w:pPr>
        <w:pStyle w:val="Normalrappo"/>
        <w:widowControl/>
        <w:tabs>
          <w:tab w:val="clear" w:pos="-720"/>
          <w:tab w:val="left" w:pos="567"/>
        </w:tabs>
        <w:suppressAutoHyphens w:val="0"/>
        <w:rPr>
          <w:rFonts w:ascii="Verdana" w:hAnsi="Verdana"/>
          <w:b/>
          <w:bCs/>
          <w:spacing w:val="0"/>
          <w:sz w:val="20"/>
        </w:rPr>
      </w:pPr>
      <w:r>
        <w:rPr>
          <w:rFonts w:ascii="Verdana" w:hAnsi="Verdana"/>
          <w:b/>
          <w:sz w:val="20"/>
        </w:rPr>
        <w:lastRenderedPageBreak/>
        <w:t>I.</w:t>
      </w:r>
      <w:r>
        <w:rPr>
          <w:rFonts w:ascii="Verdana" w:hAnsi="Verdana"/>
          <w:b/>
          <w:sz w:val="20"/>
        </w:rPr>
        <w:tab/>
      </w:r>
      <w:r>
        <w:rPr>
          <w:rFonts w:ascii="Verdana" w:hAnsi="Verdana"/>
          <w:b/>
          <w:sz w:val="20"/>
          <w:u w:val="single"/>
        </w:rPr>
        <w:t>INLEIDING</w:t>
      </w:r>
    </w:p>
    <w:p w14:paraId="6A8BB78E" w14:textId="77777777" w:rsidR="007C6961" w:rsidRPr="00F0435E" w:rsidRDefault="007C6961" w:rsidP="002C6643">
      <w:pPr>
        <w:jc w:val="both"/>
        <w:rPr>
          <w:rFonts w:ascii="Verdana" w:hAnsi="Verdana"/>
          <w:sz w:val="20"/>
          <w:szCs w:val="20"/>
        </w:rPr>
      </w:pPr>
    </w:p>
    <w:sdt>
      <w:sdtPr>
        <w:rPr>
          <w:rFonts w:ascii="Verdana" w:hAnsi="Verdana" w:cstheme="minorHAnsi"/>
          <w:sz w:val="20"/>
          <w:szCs w:val="20"/>
        </w:rPr>
        <w:tag w:val="{942782EC-0D92-4A18-89E2-B04C6EEE14C3}"/>
        <w:id w:val="-922408879"/>
        <w:lock w:val="sdtLocked"/>
        <w:placeholder>
          <w:docPart w:val="DefaultPlaceholder_-1854013440"/>
        </w:placeholder>
      </w:sdtPr>
      <w:sdtEndPr>
        <w:rPr>
          <w:rFonts w:eastAsiaTheme="minorHAnsi" w:cs="Verdana"/>
        </w:rPr>
      </w:sdtEndPr>
      <w:sdtContent>
        <w:p w14:paraId="0D0DB022" w14:textId="77777777" w:rsidR="00785BE3" w:rsidRPr="00F0435E" w:rsidRDefault="003C0CE8" w:rsidP="002C6643">
          <w:pPr>
            <w:pStyle w:val="Paragraphedeliste"/>
            <w:numPr>
              <w:ilvl w:val="0"/>
              <w:numId w:val="29"/>
            </w:numPr>
            <w:contextualSpacing/>
            <w:jc w:val="both"/>
            <w:rPr>
              <w:rFonts w:ascii="Verdana" w:hAnsi="Verdana" w:cstheme="minorHAnsi"/>
              <w:sz w:val="20"/>
              <w:szCs w:val="20"/>
            </w:rPr>
          </w:pPr>
          <w:r>
            <w:rPr>
              <w:rFonts w:ascii="Verdana" w:hAnsi="Verdana"/>
              <w:sz w:val="20"/>
            </w:rPr>
            <w:t>De GRECO heeft het</w:t>
          </w:r>
          <w:r>
            <w:t xml:space="preserve"> </w:t>
          </w:r>
          <w:hyperlink r:id="rId19" w:history="1">
            <w:r>
              <w:rPr>
                <w:rStyle w:val="Lienhypertexte"/>
                <w:rFonts w:ascii="Verdana" w:hAnsi="Verdana"/>
                <w:sz w:val="20"/>
              </w:rPr>
              <w:t>evaluatieverslag van de vierde cyclus over België</w:t>
            </w:r>
          </w:hyperlink>
          <w:r>
            <w:rPr>
              <w:rFonts w:ascii="Verdana" w:hAnsi="Verdana"/>
              <w:sz w:val="20"/>
            </w:rPr>
            <w:t xml:space="preserve"> aangenomen tijdens de 63ste plenaire vergadering (28 maart 2014) en openbaar gemaakt op 28 augustus 2014, na instemming vanwege België. De vierde evaluatiecyclus van de GRECO betreft de “Preventie van corruptie ten aanzien van parlementsleden, rechters en procureurs”.</w:t>
          </w:r>
        </w:p>
        <w:p w14:paraId="612AD141" w14:textId="77777777" w:rsidR="00F07121" w:rsidRPr="00F0435E" w:rsidRDefault="00F07121" w:rsidP="002C6643">
          <w:pPr>
            <w:pStyle w:val="Paragraphedeliste"/>
            <w:ind w:left="567"/>
            <w:contextualSpacing/>
            <w:jc w:val="both"/>
            <w:rPr>
              <w:rFonts w:ascii="Verdana" w:hAnsi="Verdana" w:cstheme="minorHAnsi"/>
              <w:sz w:val="20"/>
              <w:szCs w:val="20"/>
            </w:rPr>
          </w:pPr>
        </w:p>
        <w:p w14:paraId="42AAA0B3" w14:textId="77777777" w:rsidR="00752E4E" w:rsidRPr="00F0435E" w:rsidRDefault="00F07121" w:rsidP="002C6643">
          <w:pPr>
            <w:pStyle w:val="Paragraphedeliste"/>
            <w:numPr>
              <w:ilvl w:val="0"/>
              <w:numId w:val="29"/>
            </w:numPr>
            <w:contextualSpacing/>
            <w:jc w:val="both"/>
            <w:rPr>
              <w:rFonts w:ascii="Verdana" w:hAnsi="Verdana" w:cstheme="minorHAnsi"/>
              <w:sz w:val="20"/>
              <w:szCs w:val="20"/>
            </w:rPr>
          </w:pPr>
          <w:r>
            <w:rPr>
              <w:rFonts w:ascii="Verdana" w:hAnsi="Verdana"/>
              <w:sz w:val="20"/>
            </w:rPr>
            <w:t xml:space="preserve">In het </w:t>
          </w:r>
          <w:hyperlink r:id="rId20" w:history="1">
            <w:r>
              <w:rPr>
                <w:rStyle w:val="Lienhypertexte"/>
                <w:rFonts w:ascii="Verdana" w:hAnsi="Verdana"/>
                <w:sz w:val="20"/>
              </w:rPr>
              <w:t>conformiteitsverslag</w:t>
            </w:r>
          </w:hyperlink>
          <w:r>
            <w:rPr>
              <w:rFonts w:ascii="Verdana" w:hAnsi="Verdana"/>
              <w:sz w:val="20"/>
            </w:rPr>
            <w:t>, aangenomen door de GRECO tijdens de 73ste plenaire vergadering (21 oktober 2016), luidde de conclusie dat België geen van de vijftien aanbevelingen uit het evaluatieverslag van de vierde cyclus op bevredigende wijze ten uitvoer had gelegd of afgehandeld. Vier aanbevelingen waren gedeeltelijk ten uitvoer gelegd. In het licht van die resultaten was de GRECO tot de slotsom gekomen dat de zeer geringe mate van conformiteit met de aanbevelingen “over het algemeen onvoldoende” was in de zin van artikel 31, paragraaf 8.3, van zijn huishoudelijk reglement. De GRECO had bijgevolg beslist tot toepassing van artikel 32, paragraaf 2.i), met betrekking tot de leden die de aanbevelingen uit het wederzijdse evaluatieverslag niet ten uitvoer gelegd hebben, en had het hoofd van de Belgische delegatie verzocht om een verslag over de vooruitgang in de tenuitvoerlegging van de hangende aanbevelingen over te leggen.</w:t>
          </w:r>
        </w:p>
        <w:p w14:paraId="26E3D70F" w14:textId="77777777" w:rsidR="004A2E9B" w:rsidRPr="00F0435E" w:rsidRDefault="004A2E9B" w:rsidP="002C6643">
          <w:pPr>
            <w:pStyle w:val="Paragraphedeliste"/>
            <w:jc w:val="both"/>
            <w:rPr>
              <w:rFonts w:ascii="Verdana" w:hAnsi="Verdana" w:cstheme="minorHAnsi"/>
              <w:sz w:val="20"/>
              <w:szCs w:val="20"/>
            </w:rPr>
          </w:pPr>
        </w:p>
        <w:p w14:paraId="0DBE20BC" w14:textId="77777777" w:rsidR="004A2E9B" w:rsidRPr="00F0435E" w:rsidRDefault="004A2E9B" w:rsidP="002C6643">
          <w:pPr>
            <w:pStyle w:val="Paragraphedeliste"/>
            <w:numPr>
              <w:ilvl w:val="0"/>
              <w:numId w:val="29"/>
            </w:numPr>
            <w:jc w:val="both"/>
            <w:rPr>
              <w:rFonts w:ascii="Verdana" w:hAnsi="Verdana" w:cstheme="minorHAnsi"/>
              <w:sz w:val="20"/>
              <w:szCs w:val="20"/>
            </w:rPr>
          </w:pPr>
          <w:r>
            <w:rPr>
              <w:rFonts w:ascii="Verdana" w:hAnsi="Verdana"/>
              <w:sz w:val="20"/>
            </w:rPr>
            <w:t>In het</w:t>
          </w:r>
          <w:r>
            <w:t xml:space="preserve"> </w:t>
          </w:r>
          <w:hyperlink r:id="rId21" w:history="1">
            <w:r>
              <w:rPr>
                <w:rStyle w:val="Lienhypertexte"/>
                <w:rFonts w:ascii="Verdana" w:hAnsi="Verdana"/>
                <w:sz w:val="20"/>
              </w:rPr>
              <w:t>tussentijdse conformiteitsverslag</w:t>
            </w:r>
          </w:hyperlink>
          <w:r>
            <w:rPr>
              <w:rFonts w:ascii="Verdana" w:hAnsi="Verdana"/>
              <w:sz w:val="20"/>
            </w:rPr>
            <w:t xml:space="preserve">, aangenomen door de GRECO tijdens de 79ste plenaire vergadering (23 maart 2018), werd geconcludeerd dat België weinig vooruitgang had geboekt bij de tenuitvoerlegging van de aanbevelingen, aangezien slechts één van de vijftien aanbevelingen op bevredigende wijze ten uitvoer was gelegd en zeven aanbevelingen gedeeltelijk ten uitvoer waren gelegd. De GRECO kwam dan ook weerom tot de slotsom dat de mate van conformiteit met de aanbevelingen “over het algemeen onvoldoende” was in de zin van artikel 31, paragraaf 8.3, van zijn huishoudelijk reglement. Overeenkomstig artikel 32, paragraaf 2, lid ii.a), vestigde de GRECO de aandacht van het hoofd van de Belgische delegatie op de niet-naleving van de desbetreffende aanbevelingen en op de nood aan krachtdadig handelen om zo spoedig mogelijk tastbare vooruitgang te boeken. </w:t>
          </w:r>
        </w:p>
        <w:p w14:paraId="51FA8E4F" w14:textId="77777777" w:rsidR="00752E4E" w:rsidRPr="00F0435E" w:rsidRDefault="00752E4E" w:rsidP="002C6643">
          <w:pPr>
            <w:pStyle w:val="Paragraphedeliste"/>
            <w:jc w:val="both"/>
            <w:rPr>
              <w:rFonts w:ascii="Verdana" w:hAnsi="Verdana"/>
              <w:sz w:val="20"/>
              <w:szCs w:val="20"/>
            </w:rPr>
          </w:pPr>
        </w:p>
        <w:p w14:paraId="307EA9F1" w14:textId="494E7BE8" w:rsidR="00D33A08" w:rsidRPr="00F0435E" w:rsidRDefault="00E8740E" w:rsidP="00282920">
          <w:pPr>
            <w:pStyle w:val="Paragraphedeliste"/>
            <w:numPr>
              <w:ilvl w:val="0"/>
              <w:numId w:val="29"/>
            </w:numPr>
            <w:jc w:val="both"/>
            <w:rPr>
              <w:rFonts w:ascii="Verdana" w:hAnsi="Verdana" w:cstheme="minorHAnsi"/>
              <w:sz w:val="20"/>
              <w:szCs w:val="20"/>
            </w:rPr>
          </w:pPr>
          <w:r>
            <w:rPr>
              <w:rFonts w:ascii="Verdana" w:hAnsi="Verdana"/>
              <w:sz w:val="20"/>
            </w:rPr>
            <w:t xml:space="preserve">In het </w:t>
          </w:r>
          <w:r>
            <w:rPr>
              <w:rStyle w:val="Lienhypertexte"/>
              <w:rFonts w:ascii="Verdana" w:hAnsi="Verdana"/>
              <w:sz w:val="20"/>
            </w:rPr>
            <w:t>tweede tussentijdse conformiteitsverslag</w:t>
          </w:r>
          <w:r>
            <w:rPr>
              <w:rFonts w:ascii="Verdana" w:hAnsi="Verdana"/>
              <w:sz w:val="20"/>
            </w:rPr>
            <w:t xml:space="preserve">, aangenomen door de GRECO tijdens de 83ste plenaire vergadering (21 juni 2019), had de GRECO geconcludeerd dat België een zekere mate van vooruitgang had geboekt, aangezien twee van de vijftien aanbevelingen op bevredigende wijze ten uitvoer waren gelegd, twaalf aanbevelingen gedeeltelijk ten uitvoer waren gelegd en één aanbeveling niet ten uitvoer was gelegd. De mate van conformiteit met de aanbevelingen was in dat stadium niet langer “over het algemeen onvoldoende”. </w:t>
          </w:r>
        </w:p>
        <w:p w14:paraId="29DAC613" w14:textId="77777777" w:rsidR="00D33A08" w:rsidRPr="00F0435E" w:rsidRDefault="00D33A08" w:rsidP="00D33A08">
          <w:pPr>
            <w:jc w:val="both"/>
            <w:rPr>
              <w:rFonts w:ascii="Verdana" w:hAnsi="Verdana" w:cstheme="minorHAnsi"/>
              <w:sz w:val="20"/>
              <w:szCs w:val="20"/>
            </w:rPr>
          </w:pPr>
        </w:p>
        <w:p w14:paraId="7B100437" w14:textId="27B3A1A8" w:rsidR="00D33A08" w:rsidRPr="00F0435E" w:rsidRDefault="00D33A08" w:rsidP="00735045">
          <w:pPr>
            <w:pStyle w:val="Paragraphedeliste"/>
            <w:numPr>
              <w:ilvl w:val="0"/>
              <w:numId w:val="29"/>
            </w:numPr>
            <w:jc w:val="both"/>
            <w:rPr>
              <w:rFonts w:ascii="Verdana" w:hAnsi="Verdana" w:cstheme="minorHAnsi"/>
              <w:sz w:val="20"/>
              <w:szCs w:val="20"/>
            </w:rPr>
          </w:pPr>
          <w:r>
            <w:rPr>
              <w:rFonts w:ascii="Verdana" w:hAnsi="Verdana"/>
              <w:sz w:val="20"/>
            </w:rPr>
            <w:t xml:space="preserve">In het </w:t>
          </w:r>
          <w:hyperlink r:id="rId22" w:history="1">
            <w:r>
              <w:rPr>
                <w:rStyle w:val="Lienhypertexte"/>
                <w:rFonts w:ascii="Verdana" w:hAnsi="Verdana"/>
                <w:sz w:val="20"/>
              </w:rPr>
              <w:t>tweede conformiteitsverslag</w:t>
            </w:r>
          </w:hyperlink>
          <w:r>
            <w:rPr>
              <w:rFonts w:ascii="Verdana" w:hAnsi="Verdana"/>
              <w:sz w:val="20"/>
            </w:rPr>
            <w:t>, aangenomen door de GRECO tijdens de 87ste plenaire vergadering (25 maart 2021), was de GRECO tot de slotsom gekomen dat vier van de vijftien aanbevelingen op bevredigende wijze ten uitvoer gelegd of behandeld waren, en dat België niet op afdoende of bepalende wijze vorderingen had gemaakt bij de volkomen tenuitvoerlegging van de aanbevelingen, aangezien het merendeel (elf) van de aanbevelingen gedeeltelijk ten uitvoer gelegd was gebleven. Bijgevolg was de situatie weerom “over het algemeen onvoldoende” in de zin van artikel 31, paragraaf 8.3, van het huishoudelijk reglement van de GRECO. De GRECO had beslist om artikel 32, betreffende de leden die de aanbevelingen uit het evaluatieverslag niet in acht nemen, opnieuw toe te passen en had het hoofd van de Belgische delegatie verzocht om een verslag over de maatregelen genomen met het oog op de tenuitvoerlegging van de hangende aanbevelingen over te leggen tegen uiterlijk 31 maart 2022. Het verslag in kwestie, dat op 30 maart 2022 werd voorgesteld, heeft als basis gediend voor de opmaak van dit verslag.</w:t>
          </w:r>
        </w:p>
        <w:p w14:paraId="34D32852" w14:textId="77777777" w:rsidR="00D33A08" w:rsidRPr="00F0435E" w:rsidRDefault="00D33A08" w:rsidP="00D33A08">
          <w:pPr>
            <w:pStyle w:val="Paragraphedeliste"/>
            <w:rPr>
              <w:rFonts w:cstheme="minorHAnsi"/>
              <w:sz w:val="20"/>
              <w:szCs w:val="20"/>
              <w:u w:val="single"/>
            </w:rPr>
          </w:pPr>
        </w:p>
        <w:p w14:paraId="3BEB31CE" w14:textId="762358D4" w:rsidR="008B6AC7" w:rsidRPr="00F0435E" w:rsidRDefault="002C6643" w:rsidP="00D33A08">
          <w:pPr>
            <w:pStyle w:val="Paragraphedeliste"/>
            <w:numPr>
              <w:ilvl w:val="0"/>
              <w:numId w:val="29"/>
            </w:numPr>
            <w:jc w:val="both"/>
            <w:rPr>
              <w:rFonts w:ascii="Verdana" w:hAnsi="Verdana" w:cstheme="minorHAnsi"/>
              <w:sz w:val="20"/>
              <w:szCs w:val="20"/>
            </w:rPr>
          </w:pPr>
          <w:r>
            <w:rPr>
              <w:rFonts w:ascii="Verdana" w:hAnsi="Verdana"/>
              <w:sz w:val="20"/>
              <w:u w:val="single"/>
            </w:rPr>
            <w:lastRenderedPageBreak/>
            <w:t>Dit derde tussentijdse conformiteitsverslag</w:t>
          </w:r>
          <w:r>
            <w:rPr>
              <w:rFonts w:ascii="Verdana" w:hAnsi="Verdana"/>
              <w:sz w:val="20"/>
            </w:rPr>
            <w:t xml:space="preserve"> evalueert de vorderingen bij de tenuitvoerlegging van de elf hangende aanbevelingen sinds het vorige conformiteitsverslag (aanbevelingen i tot vi, viii, ix, xii, xiv, xv) en omvat een globale beoordeling van het niveau van conformiteit van België met die aanbevelingen.</w:t>
          </w:r>
        </w:p>
        <w:p w14:paraId="48E27EEE" w14:textId="77777777" w:rsidR="00D4786B" w:rsidRPr="00F0435E" w:rsidRDefault="00D4786B" w:rsidP="002C6643">
          <w:pPr>
            <w:pStyle w:val="Paragraphedeliste"/>
            <w:jc w:val="both"/>
            <w:rPr>
              <w:rFonts w:ascii="Verdana" w:hAnsi="Verdana" w:cstheme="minorHAnsi"/>
              <w:sz w:val="20"/>
              <w:szCs w:val="20"/>
            </w:rPr>
          </w:pPr>
        </w:p>
        <w:p w14:paraId="342C5B29" w14:textId="217FA088" w:rsidR="008B6AC7" w:rsidRPr="00F0435E" w:rsidRDefault="00B642F4" w:rsidP="00EE15EE">
          <w:pPr>
            <w:pStyle w:val="Paragraphedeliste"/>
            <w:numPr>
              <w:ilvl w:val="0"/>
              <w:numId w:val="29"/>
            </w:numPr>
            <w:contextualSpacing/>
            <w:jc w:val="both"/>
            <w:rPr>
              <w:rFonts w:ascii="Verdana" w:hAnsi="Verdana" w:cstheme="minorHAnsi"/>
              <w:sz w:val="20"/>
              <w:szCs w:val="20"/>
            </w:rPr>
          </w:pPr>
          <w:r>
            <w:rPr>
              <w:rFonts w:ascii="Verdana" w:hAnsi="Verdana"/>
              <w:sz w:val="20"/>
              <w:u w:val="single"/>
            </w:rPr>
            <w:t>De GRECO</w:t>
          </w:r>
          <w:r>
            <w:rPr>
              <w:rFonts w:ascii="Verdana" w:hAnsi="Verdana"/>
              <w:sz w:val="20"/>
            </w:rPr>
            <w:t xml:space="preserve"> heeft respectievelijk Frankrijk (met betrekking tot de parlementaire assemblées) en Monaco (met betrekking tot de gerechtelijke instellingen) belast met de aanstelling van verslaggevers voor de conformiteitsprocedure. De heer Vincent FILHOL,</w:t>
          </w:r>
          <w:r>
            <w:t xml:space="preserve"> </w:t>
          </w:r>
          <w:r>
            <w:rPr>
              <w:rFonts w:ascii="Verdana" w:hAnsi="Verdana"/>
              <w:sz w:val="20"/>
            </w:rPr>
            <w:t xml:space="preserve">opdrachthouder voor internationale burgerrechtelijke en strafrechtelijke zaken bij het Ministerie van Europa en Buitenlandse Zaken namens Frankrijk, en de heer Jean-Marc GUALANDI, technisch adviseur bij de SICCFIN van het Departement Financiën en Economie, namens Monaco, werden aangesteld als verslaggevers. Zij werden bij de opmaak van dit verslag bijgestaan door het secretariaat van de GRECO. </w:t>
          </w:r>
        </w:p>
      </w:sdtContent>
    </w:sdt>
    <w:p w14:paraId="24B2008C" w14:textId="77777777" w:rsidR="007C6961" w:rsidRPr="00F0435E" w:rsidRDefault="007C6961" w:rsidP="002C6643">
      <w:pPr>
        <w:jc w:val="both"/>
        <w:rPr>
          <w:rFonts w:ascii="Verdana" w:hAnsi="Verdana"/>
          <w:sz w:val="20"/>
          <w:szCs w:val="20"/>
        </w:rPr>
      </w:pPr>
    </w:p>
    <w:p w14:paraId="5BCBCDBB" w14:textId="77777777" w:rsidR="007C6961" w:rsidRPr="00F0435E" w:rsidRDefault="007C6961" w:rsidP="002C6643">
      <w:pPr>
        <w:tabs>
          <w:tab w:val="left" w:pos="567"/>
        </w:tabs>
        <w:jc w:val="both"/>
        <w:rPr>
          <w:rFonts w:ascii="Verdana" w:hAnsi="Verdana"/>
          <w:b/>
          <w:bCs/>
          <w:sz w:val="20"/>
          <w:szCs w:val="20"/>
          <w:u w:val="single"/>
        </w:rPr>
      </w:pPr>
      <w:r>
        <w:rPr>
          <w:rFonts w:ascii="Verdana" w:hAnsi="Verdana"/>
          <w:b/>
          <w:sz w:val="20"/>
        </w:rPr>
        <w:t>II.</w:t>
      </w:r>
      <w:r>
        <w:rPr>
          <w:rFonts w:ascii="Verdana" w:hAnsi="Verdana"/>
          <w:b/>
          <w:sz w:val="20"/>
        </w:rPr>
        <w:tab/>
      </w:r>
      <w:r>
        <w:rPr>
          <w:rFonts w:ascii="Verdana" w:hAnsi="Verdana"/>
          <w:b/>
          <w:sz w:val="20"/>
          <w:u w:val="single"/>
        </w:rPr>
        <w:t>ANALYSE</w:t>
      </w:r>
    </w:p>
    <w:p w14:paraId="34A054BA" w14:textId="77777777" w:rsidR="00347F36" w:rsidRPr="00F0435E" w:rsidRDefault="00347F36" w:rsidP="002C6643">
      <w:pPr>
        <w:tabs>
          <w:tab w:val="left" w:pos="570"/>
        </w:tabs>
        <w:jc w:val="both"/>
        <w:rPr>
          <w:rFonts w:ascii="Verdana" w:hAnsi="Verdana"/>
          <w:b/>
          <w:bCs/>
          <w:sz w:val="20"/>
          <w:szCs w:val="20"/>
          <w:u w:val="single"/>
        </w:rPr>
      </w:pPr>
    </w:p>
    <w:sdt>
      <w:sdtPr>
        <w:rPr>
          <w:rFonts w:ascii="Verdana" w:hAnsi="Verdana"/>
          <w:bCs/>
          <w:i/>
          <w:sz w:val="20"/>
          <w:szCs w:val="20"/>
        </w:rPr>
        <w:tag w:val="{32DBF20F-D404-4B6F-A380-980A6CE00354}"/>
        <w:id w:val="458924370"/>
        <w:lock w:val="sdtLocked"/>
        <w:placeholder>
          <w:docPart w:val="DefaultPlaceholder_-1854013440"/>
        </w:placeholder>
      </w:sdtPr>
      <w:sdtEndPr>
        <w:rPr>
          <w:b/>
          <w:bCs w:val="0"/>
          <w:i w:val="0"/>
        </w:rPr>
      </w:sdtEndPr>
      <w:sdtContent>
        <w:p w14:paraId="05DF3C97" w14:textId="77777777" w:rsidR="00CA6224" w:rsidRPr="00F0435E" w:rsidRDefault="00CA6224" w:rsidP="002C6643">
          <w:pPr>
            <w:tabs>
              <w:tab w:val="left" w:pos="570"/>
            </w:tabs>
            <w:ind w:left="567" w:hanging="567"/>
            <w:jc w:val="both"/>
            <w:rPr>
              <w:rFonts w:ascii="Verdana" w:hAnsi="Verdana"/>
              <w:bCs/>
              <w:i/>
              <w:sz w:val="20"/>
              <w:szCs w:val="20"/>
            </w:rPr>
          </w:pPr>
          <w:r>
            <w:rPr>
              <w:rFonts w:ascii="Verdana" w:hAnsi="Verdana"/>
              <w:i/>
              <w:sz w:val="20"/>
            </w:rPr>
            <w:t>Preventie van corruptie ten aanzien van parlementsleden</w:t>
          </w:r>
        </w:p>
        <w:p w14:paraId="6024183D" w14:textId="77777777" w:rsidR="005B7F42" w:rsidRPr="00F0435E" w:rsidRDefault="005B7F42" w:rsidP="002C6643">
          <w:pPr>
            <w:jc w:val="both"/>
            <w:rPr>
              <w:rFonts w:ascii="Verdana" w:hAnsi="Verdana"/>
              <w:sz w:val="20"/>
              <w:szCs w:val="20"/>
            </w:rPr>
          </w:pPr>
        </w:p>
        <w:p w14:paraId="63C2BC84" w14:textId="77777777" w:rsidR="007C6961" w:rsidRPr="00F0435E" w:rsidRDefault="00F07121" w:rsidP="002C6643">
          <w:pPr>
            <w:tabs>
              <w:tab w:val="left" w:pos="567"/>
            </w:tabs>
            <w:ind w:firstLine="567"/>
            <w:contextualSpacing/>
            <w:jc w:val="both"/>
            <w:rPr>
              <w:rFonts w:ascii="Verdana" w:hAnsi="Verdana" w:cstheme="minorHAnsi"/>
              <w:b/>
              <w:bCs/>
              <w:sz w:val="20"/>
              <w:szCs w:val="20"/>
            </w:rPr>
          </w:pPr>
          <w:r>
            <w:rPr>
              <w:rFonts w:ascii="Verdana" w:hAnsi="Verdana"/>
              <w:b/>
              <w:sz w:val="20"/>
            </w:rPr>
            <w:t xml:space="preserve">Aanbeveling i. </w:t>
          </w:r>
        </w:p>
        <w:p w14:paraId="40C7046C" w14:textId="77777777" w:rsidR="007C6961" w:rsidRPr="00F0435E" w:rsidRDefault="00AC309E" w:rsidP="002C6643">
          <w:pPr>
            <w:tabs>
              <w:tab w:val="left" w:pos="1306"/>
            </w:tabs>
            <w:contextualSpacing/>
            <w:jc w:val="both"/>
            <w:rPr>
              <w:rFonts w:ascii="Verdana" w:hAnsi="Verdana" w:cstheme="minorHAnsi"/>
              <w:b/>
              <w:bCs/>
              <w:sz w:val="20"/>
              <w:szCs w:val="20"/>
            </w:rPr>
          </w:pPr>
          <w:r>
            <w:rPr>
              <w:rFonts w:ascii="Verdana" w:hAnsi="Verdana"/>
              <w:b/>
              <w:sz w:val="20"/>
            </w:rPr>
            <w:tab/>
          </w:r>
        </w:p>
        <w:p w14:paraId="2E016F5D" w14:textId="77777777" w:rsidR="00822F54" w:rsidRPr="00F0435E" w:rsidRDefault="00AC309E" w:rsidP="002C6643">
          <w:pPr>
            <w:numPr>
              <w:ilvl w:val="0"/>
              <w:numId w:val="29"/>
            </w:numPr>
            <w:contextualSpacing/>
            <w:jc w:val="both"/>
            <w:rPr>
              <w:rFonts w:ascii="Verdana" w:hAnsi="Verdana" w:cstheme="minorHAnsi"/>
              <w:i/>
              <w:iCs/>
              <w:sz w:val="20"/>
              <w:szCs w:val="20"/>
            </w:rPr>
          </w:pPr>
          <w:r>
            <w:rPr>
              <w:rFonts w:ascii="Verdana" w:hAnsi="Verdana"/>
              <w:i/>
              <w:sz w:val="20"/>
            </w:rPr>
            <w:t>De GRECO had aanbevolen om de invoering te waarborgen van een coherente en doeltreffende regelgeving voor de parlementsleden i) inzake geschenken, giften en andere gratificaties die inzonderheid zou voorzien in de openbaarheid van die welke aanvaard worden en in de identiteit van de schenkers, en ii) die de aangelegenheid inzake buitenlandse schenkers regelt.</w:t>
          </w:r>
        </w:p>
        <w:p w14:paraId="081A0B3F" w14:textId="77777777" w:rsidR="00822F54" w:rsidRPr="00F0435E" w:rsidRDefault="00822F54" w:rsidP="002C6643">
          <w:pPr>
            <w:pStyle w:val="question"/>
            <w:numPr>
              <w:ilvl w:val="0"/>
              <w:numId w:val="0"/>
            </w:numPr>
            <w:ind w:left="567" w:hanging="567"/>
            <w:contextualSpacing/>
            <w:rPr>
              <w:rFonts w:ascii="Verdana" w:hAnsi="Verdana" w:cstheme="minorHAnsi"/>
              <w:sz w:val="20"/>
              <w:lang w:eastAsia="fr-FR"/>
            </w:rPr>
          </w:pPr>
        </w:p>
        <w:p w14:paraId="6A2E15CC" w14:textId="5906CF0A" w:rsidR="00E063E0" w:rsidRPr="00F0435E" w:rsidRDefault="003E490C" w:rsidP="001E7B1F">
          <w:pPr>
            <w:numPr>
              <w:ilvl w:val="0"/>
              <w:numId w:val="29"/>
            </w:numPr>
            <w:jc w:val="both"/>
            <w:rPr>
              <w:rFonts w:ascii="Verdana" w:hAnsi="Verdana"/>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had meer bepaald geoordeeld dat het tweede deel van de aanbeveling ten uitvoer gelegd was, aangezien buitenlandse giften voortaan geregeld zijn in de wet betreffende de partijfinanciering. Er was evenwel geconcludeerd dat het eerste deel van de aanbeveling nog ten uitvoer moest worden gelegd overeenkomstig de door het Parlement gehuldigde intenties om een coherente regelgeving inzake geschenken uit te werken. </w:t>
          </w:r>
        </w:p>
        <w:p w14:paraId="05072FDE" w14:textId="77777777" w:rsidR="00FD1DF4" w:rsidRPr="00F0435E" w:rsidRDefault="00FD1DF4" w:rsidP="002C6643">
          <w:pPr>
            <w:pStyle w:val="Paragraphedeliste"/>
            <w:ind w:left="567" w:hanging="567"/>
            <w:jc w:val="both"/>
            <w:rPr>
              <w:rFonts w:ascii="Verdana" w:hAnsi="Verdana"/>
              <w:sz w:val="20"/>
              <w:szCs w:val="20"/>
              <w:u w:val="single"/>
            </w:rPr>
          </w:pPr>
        </w:p>
        <w:p w14:paraId="7FC41BAE" w14:textId="64B7E661" w:rsidR="00E063E0" w:rsidRPr="00F0435E" w:rsidRDefault="00481644" w:rsidP="00D31C8C">
          <w:pPr>
            <w:numPr>
              <w:ilvl w:val="0"/>
              <w:numId w:val="29"/>
            </w:numPr>
            <w:jc w:val="both"/>
            <w:rPr>
              <w:rFonts w:ascii="Verdana" w:hAnsi="Verdana"/>
              <w:sz w:val="20"/>
              <w:szCs w:val="20"/>
            </w:rPr>
          </w:pPr>
          <w:r>
            <w:rPr>
              <w:rFonts w:ascii="Verdana" w:hAnsi="Verdana"/>
              <w:sz w:val="20"/>
              <w:u w:val="single"/>
            </w:rPr>
            <w:t>De Belgische overheid</w:t>
          </w:r>
          <w:r>
            <w:rPr>
              <w:rFonts w:ascii="Verdana" w:hAnsi="Verdana"/>
              <w:sz w:val="20"/>
            </w:rPr>
            <w:t xml:space="preserve"> meldt nu dat de Federale Deontologische Commissie op 8 september 2021 een algemeen advies</w:t>
          </w:r>
          <w:r w:rsidR="00013AE5" w:rsidRPr="00F0435E">
            <w:rPr>
              <w:rStyle w:val="Appelnotedebasdep"/>
              <w:rFonts w:ascii="Verdana" w:hAnsi="Verdana"/>
              <w:sz w:val="20"/>
              <w:szCs w:val="20"/>
            </w:rPr>
            <w:footnoteReference w:id="1"/>
          </w:r>
          <w:r w:rsidR="00A6345A">
            <w:rPr>
              <w:rFonts w:ascii="Verdana" w:hAnsi="Verdana"/>
              <w:sz w:val="20"/>
            </w:rPr>
            <w:t xml:space="preserve"> </w:t>
          </w:r>
          <w:r>
            <w:rPr>
              <w:rFonts w:ascii="Verdana" w:hAnsi="Verdana"/>
              <w:sz w:val="20"/>
            </w:rPr>
            <w:t>aangaande preventie van corruptie bij parlementsleden heeft verstrekt, dat onder meer betrekking heeft op geschenken. De Commissie geeft aan dat de symbolische en occasionele waarde van de geschenken die zijn toegelaten door de Deontologische code voor de Kamerleden duidelijk moet omschreven zijn en oppert een geschatte waarde van minder dan 150 euro. Ze beveelt de opmaak van een vademecum met vragen &amp; antwoorden en concrete gevallen aan. Ze betwijfelt de wenselijkheid van een geschenkenregister, gezien de moeilijkheden op het stuk van controle en de administratieve rompslomp. Op basis van dat advies, aangevuld met een interpretatief advies</w:t>
          </w:r>
          <w:r w:rsidR="00013AE5" w:rsidRPr="00F0435E">
            <w:rPr>
              <w:rStyle w:val="Appelnotedebasdep"/>
              <w:rFonts w:ascii="Verdana" w:hAnsi="Verdana"/>
              <w:sz w:val="20"/>
              <w:szCs w:val="20"/>
            </w:rPr>
            <w:footnoteReference w:id="2"/>
          </w:r>
          <w:r>
            <w:rPr>
              <w:rFonts w:ascii="Verdana" w:hAnsi="Verdana"/>
              <w:sz w:val="20"/>
            </w:rPr>
            <w:t>, heeft de werkgroep 'Politieke partijen' van de Kamer van volksvertegenwoordigers op 22 februari 2022 beslist om geen geschenkenregister in te voeren en overweegt hij de wijziging van de Deontologische code voor de Kamerleden teneinde te voldoen aan de aanbevelingen van de Commissie.</w:t>
          </w:r>
        </w:p>
        <w:p w14:paraId="2166DFB8" w14:textId="77777777" w:rsidR="00E063E0" w:rsidRPr="00F0435E" w:rsidRDefault="00E063E0" w:rsidP="00E063E0">
          <w:pPr>
            <w:pStyle w:val="Paragraphedeliste"/>
            <w:rPr>
              <w:rFonts w:ascii="Verdana" w:hAnsi="Verdana"/>
              <w:sz w:val="20"/>
              <w:szCs w:val="20"/>
            </w:rPr>
          </w:pPr>
        </w:p>
        <w:p w14:paraId="01F68FE9" w14:textId="4F74E07E" w:rsidR="00F41A97" w:rsidRPr="00F0435E" w:rsidRDefault="00194BC9" w:rsidP="00BF29D9">
          <w:pPr>
            <w:numPr>
              <w:ilvl w:val="0"/>
              <w:numId w:val="29"/>
            </w:numPr>
            <w:jc w:val="both"/>
            <w:rPr>
              <w:rFonts w:ascii="Verdana" w:hAnsi="Verdana"/>
              <w:sz w:val="20"/>
              <w:szCs w:val="20"/>
            </w:rPr>
          </w:pPr>
          <w:bookmarkStart w:id="6" w:name="_Hlk57108487"/>
          <w:r>
            <w:rPr>
              <w:rFonts w:ascii="Verdana" w:hAnsi="Verdana"/>
              <w:sz w:val="20"/>
              <w:u w:val="single"/>
            </w:rPr>
            <w:t>De GRECO</w:t>
          </w:r>
          <w:r>
            <w:rPr>
              <w:rFonts w:ascii="Verdana" w:hAnsi="Verdana"/>
              <w:sz w:val="20"/>
            </w:rPr>
            <w:t xml:space="preserve"> tekent op dat de regelgeving inzake geschenken voor parlementsleden nog steeds vervat blijft in intenties gehuldigd door de Kamer van volksvertegenwoordigers, in het verlengde van een advies van de Federale Deontologische Commissie, die tot dusver evenwel nog niet concreet zijn omgezet in toepasselijke regels. Hij tekent op dat de Kamer van volksvertegenwoordigers in deze </w:t>
          </w:r>
          <w:r>
            <w:rPr>
              <w:rFonts w:ascii="Verdana" w:hAnsi="Verdana"/>
              <w:sz w:val="20"/>
            </w:rPr>
            <w:lastRenderedPageBreak/>
            <w:t xml:space="preserve">fase van de denkoefening niet van plan is een geschenkenregister in te voeren, en herinnert in dit verband aan zijn aanbeveling om geschenken voor parlementsleden, alsook de identiteit van de schenkers, openbaar te maken. In een streven naar het behoud van eenvormigheid in de regelgeving, zoals aanbevolen door de Federale Deontologische Commissie, wacht de Senaat op eventuele initiatieven vanwege de Kamer van volksvertegenwoordigers. Het eerste deel van de aanbeveling is dus nog steeds niet ten uitvoer gelegd.    </w:t>
          </w:r>
          <w:bookmarkEnd w:id="6"/>
        </w:p>
        <w:p w14:paraId="06649F50" w14:textId="77777777" w:rsidR="00BF29D9" w:rsidRPr="00F0435E" w:rsidRDefault="00BF29D9" w:rsidP="00BF29D9">
          <w:pPr>
            <w:rPr>
              <w:rFonts w:ascii="Verdana" w:hAnsi="Verdana"/>
              <w:sz w:val="20"/>
              <w:szCs w:val="20"/>
            </w:rPr>
          </w:pPr>
        </w:p>
        <w:p w14:paraId="6AFB9A43" w14:textId="4F75B14B" w:rsidR="00FD1DF4" w:rsidRPr="00F0435E" w:rsidRDefault="00CA5F5F" w:rsidP="002C6643">
          <w:pPr>
            <w:numPr>
              <w:ilvl w:val="0"/>
              <w:numId w:val="29"/>
            </w:numPr>
            <w:jc w:val="both"/>
            <w:rPr>
              <w:rFonts w:ascii="Verdana" w:hAnsi="Verdana"/>
              <w:sz w:val="20"/>
              <w:szCs w:val="20"/>
            </w:rPr>
          </w:pPr>
          <w:r>
            <w:rPr>
              <w:rFonts w:ascii="Verdana" w:hAnsi="Verdana"/>
              <w:sz w:val="20"/>
              <w:u w:val="single"/>
            </w:rPr>
            <w:t xml:space="preserve">De GRECO besluit dat aanbeveling i gedeeltelijk ten uitvoer gelegd blijft. </w:t>
          </w:r>
        </w:p>
        <w:p w14:paraId="5159EB27" w14:textId="77777777" w:rsidR="007C6961" w:rsidRPr="00F0435E" w:rsidRDefault="007C6961" w:rsidP="002C6643">
          <w:pPr>
            <w:ind w:left="567" w:hanging="567"/>
            <w:jc w:val="both"/>
            <w:rPr>
              <w:rFonts w:ascii="Verdana" w:hAnsi="Verdana"/>
              <w:sz w:val="20"/>
              <w:szCs w:val="20"/>
              <w:u w:val="single"/>
            </w:rPr>
          </w:pPr>
        </w:p>
        <w:p w14:paraId="019F223F" w14:textId="77777777" w:rsidR="008D7D60" w:rsidRPr="00F0435E" w:rsidRDefault="00F07121" w:rsidP="002C6643">
          <w:pPr>
            <w:tabs>
              <w:tab w:val="left" w:pos="570"/>
            </w:tabs>
            <w:ind w:left="567"/>
            <w:contextualSpacing/>
            <w:jc w:val="both"/>
            <w:rPr>
              <w:rFonts w:ascii="Verdana" w:hAnsi="Verdana" w:cstheme="minorHAnsi"/>
              <w:b/>
              <w:bCs/>
              <w:sz w:val="20"/>
              <w:szCs w:val="20"/>
            </w:rPr>
          </w:pPr>
          <w:r>
            <w:rPr>
              <w:rFonts w:ascii="Verdana" w:hAnsi="Verdana"/>
              <w:b/>
              <w:sz w:val="20"/>
            </w:rPr>
            <w:t xml:space="preserve">Aanbeveling ii. </w:t>
          </w:r>
        </w:p>
        <w:p w14:paraId="50F16DA7" w14:textId="77777777" w:rsidR="008D7D60" w:rsidRPr="00F0435E" w:rsidRDefault="008D7D60" w:rsidP="002C6643">
          <w:pPr>
            <w:tabs>
              <w:tab w:val="left" w:pos="570"/>
            </w:tabs>
            <w:ind w:left="567" w:hanging="567"/>
            <w:contextualSpacing/>
            <w:jc w:val="both"/>
            <w:rPr>
              <w:rFonts w:ascii="Verdana" w:hAnsi="Verdana" w:cstheme="minorHAnsi"/>
              <w:b/>
              <w:bCs/>
              <w:sz w:val="20"/>
              <w:szCs w:val="20"/>
            </w:rPr>
          </w:pPr>
        </w:p>
        <w:p w14:paraId="5908844C" w14:textId="77777777" w:rsidR="007C6961" w:rsidRPr="00F0435E" w:rsidRDefault="00AC309E" w:rsidP="002C6643">
          <w:pPr>
            <w:numPr>
              <w:ilvl w:val="0"/>
              <w:numId w:val="29"/>
            </w:numPr>
            <w:jc w:val="both"/>
            <w:rPr>
              <w:rFonts w:ascii="Verdana" w:hAnsi="Verdana" w:cstheme="minorHAnsi"/>
              <w:b/>
              <w:bCs/>
              <w:sz w:val="20"/>
              <w:szCs w:val="20"/>
            </w:rPr>
          </w:pPr>
          <w:r>
            <w:rPr>
              <w:rFonts w:ascii="Verdana" w:hAnsi="Verdana"/>
              <w:i/>
              <w:iCs/>
              <w:sz w:val="20"/>
            </w:rPr>
            <w:t>De GRECO had aanbevolen dat er voor de parlementsleden regels zouden worden ingevoerd inzake het beheer van de relaties met lobbyisten en andere derden die de parlementaire procedure trachten te beïnvloeden.</w:t>
          </w:r>
        </w:p>
        <w:p w14:paraId="36C83ABE" w14:textId="77777777" w:rsidR="0057566A" w:rsidRPr="00F0435E" w:rsidRDefault="0057566A" w:rsidP="002C6643">
          <w:pPr>
            <w:pStyle w:val="question"/>
            <w:numPr>
              <w:ilvl w:val="0"/>
              <w:numId w:val="0"/>
            </w:numPr>
            <w:tabs>
              <w:tab w:val="left" w:pos="567"/>
            </w:tabs>
            <w:ind w:left="567" w:hanging="567"/>
            <w:contextualSpacing/>
            <w:rPr>
              <w:rFonts w:ascii="Verdana" w:hAnsi="Verdana"/>
              <w:sz w:val="20"/>
              <w:u w:val="single"/>
              <w:lang w:eastAsia="fr-FR"/>
            </w:rPr>
          </w:pPr>
        </w:p>
        <w:p w14:paraId="3AD061AA" w14:textId="04BB9FD2" w:rsidR="008C15BA" w:rsidRPr="00F0435E" w:rsidRDefault="00F66FB7" w:rsidP="008C15BA">
          <w:pPr>
            <w:pStyle w:val="Paragraphedeliste"/>
            <w:numPr>
              <w:ilvl w:val="0"/>
              <w:numId w:val="29"/>
            </w:numPr>
            <w:jc w:val="both"/>
            <w:rPr>
              <w:rFonts w:ascii="Verdana" w:hAnsi="Verdana" w:cstheme="minorHAnsi"/>
              <w:sz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had erop gewezen dat er, naar zijn verwachting, transparantieregels voor de parlementsleden in hun relaties met derden zouden worden ingevoerd, die verder zouden gaan dan een gemeenschappelijk lobbyregister voor de parlementaire en uitvoerende instanties. Hij tekende op dat de vorderingen in deze fase beperkt waren gebleven tot een mandaat voor een werkgroep, gegeven door de Conferentie van de fractievoorzitters van de Kamer van volksvertegenwoordigers.</w:t>
          </w:r>
        </w:p>
        <w:p w14:paraId="336D919C" w14:textId="266E2547" w:rsidR="0057566A" w:rsidRPr="00F0435E" w:rsidRDefault="0057566A" w:rsidP="002C6643">
          <w:pPr>
            <w:pStyle w:val="question"/>
            <w:numPr>
              <w:ilvl w:val="0"/>
              <w:numId w:val="0"/>
            </w:numPr>
            <w:tabs>
              <w:tab w:val="left" w:pos="567"/>
            </w:tabs>
            <w:ind w:left="567" w:hanging="567"/>
            <w:contextualSpacing/>
            <w:rPr>
              <w:rFonts w:ascii="Verdana" w:hAnsi="Verdana" w:cstheme="minorHAnsi"/>
              <w:sz w:val="20"/>
              <w:lang w:eastAsia="fr-FR"/>
            </w:rPr>
          </w:pPr>
        </w:p>
        <w:p w14:paraId="0D77E3FE" w14:textId="7D777CD1" w:rsidR="00F66FB7" w:rsidRPr="00F650B6" w:rsidRDefault="00BF1E0E" w:rsidP="00F650B6">
          <w:pPr>
            <w:numPr>
              <w:ilvl w:val="0"/>
              <w:numId w:val="29"/>
            </w:numPr>
            <w:jc w:val="both"/>
            <w:rPr>
              <w:rFonts w:ascii="Verdana" w:hAnsi="Verdana"/>
              <w:sz w:val="20"/>
              <w:szCs w:val="20"/>
            </w:rPr>
          </w:pPr>
          <w:r>
            <w:rPr>
              <w:rFonts w:ascii="Verdana" w:hAnsi="Verdana"/>
              <w:sz w:val="20"/>
              <w:u w:val="single"/>
            </w:rPr>
            <w:t>De Belgische overheid</w:t>
          </w:r>
          <w:r>
            <w:rPr>
              <w:rFonts w:ascii="Verdana" w:hAnsi="Verdana"/>
              <w:sz w:val="20"/>
            </w:rPr>
            <w:t xml:space="preserve"> </w:t>
          </w:r>
          <w:bookmarkStart w:id="7" w:name="_Hlk57127537"/>
          <w:r>
            <w:rPr>
              <w:rFonts w:ascii="Verdana" w:hAnsi="Verdana"/>
              <w:sz w:val="20"/>
            </w:rPr>
            <w:t>geeft nu aan dat een wetsvoorstel tot invoering van een transparantieregister</w:t>
          </w:r>
          <w:r w:rsidR="008C15BA">
            <w:rPr>
              <w:rStyle w:val="Appelnotedebasdep"/>
              <w:rFonts w:ascii="Verdana" w:hAnsi="Verdana"/>
              <w:sz w:val="20"/>
              <w:szCs w:val="20"/>
            </w:rPr>
            <w:footnoteReference w:id="3"/>
          </w:r>
          <w:r>
            <w:rPr>
              <w:rFonts w:ascii="Verdana" w:hAnsi="Verdana"/>
              <w:sz w:val="20"/>
            </w:rPr>
            <w:t xml:space="preserve"> met betrekking de uitvoerende en wetgevende macht</w:t>
          </w:r>
          <w:r w:rsidR="00331257">
            <w:rPr>
              <w:rStyle w:val="Appelnotedebasdep"/>
              <w:rFonts w:ascii="Verdana" w:hAnsi="Verdana"/>
              <w:sz w:val="20"/>
              <w:szCs w:val="20"/>
            </w:rPr>
            <w:footnoteReference w:id="4"/>
          </w:r>
          <w:r>
            <w:rPr>
              <w:rFonts w:ascii="Verdana" w:hAnsi="Verdana"/>
              <w:sz w:val="20"/>
            </w:rPr>
            <w:t xml:space="preserve"> ter bespreking voorligt binnen de Commissie voor Grondwet en Institutionele Vernieuwing van de Kamer van volksvertegenwoordigers. Dat voorstel preciseert dat de wetsvoorstellen, wetsontwerpen, voorstellen van resolutie en amendementen een voor het publiek beschikbare transparantieparagraaf moeten bevatten. Voorts beoogt het voorstel de uitbreiding van het bestaande lobbyregister van de Kamer, en de vervanging ervan door een verplicht transparantieregister dat van toepassing is op Kamer, Senaat en federale regering samen. Bovendien wordt een expliciete definitie van “lobbying” en “lobbyist” opgenomen en bepaalt het voorstel dat lobbyisten die zich niet houden aan de wettelijke voorschriften geschrapt zullen worden uit het register en opgenomen in een afzonderlijke categorie van “overtreders”. De Raad van State heeft op 14 februari 2022 een advies over het wetsvoorstel verstrekt, dat thans in overweging worden genomen door de Commissie. </w:t>
          </w:r>
        </w:p>
        <w:p w14:paraId="4B724457" w14:textId="77777777" w:rsidR="00F66FB7" w:rsidRPr="00F0435E" w:rsidRDefault="00F66FB7" w:rsidP="00F66FB7">
          <w:pPr>
            <w:pStyle w:val="Paragraphedeliste"/>
            <w:rPr>
              <w:rFonts w:ascii="Verdana" w:hAnsi="Verdana"/>
              <w:sz w:val="20"/>
              <w:szCs w:val="20"/>
            </w:rPr>
          </w:pPr>
        </w:p>
        <w:p w14:paraId="20595FA2" w14:textId="39B45A31" w:rsidR="003347E0" w:rsidRPr="00F0435E" w:rsidRDefault="00D1623F" w:rsidP="009E36C3">
          <w:pPr>
            <w:numPr>
              <w:ilvl w:val="0"/>
              <w:numId w:val="29"/>
            </w:numPr>
            <w:jc w:val="both"/>
            <w:rPr>
              <w:rFonts w:ascii="Verdana" w:hAnsi="Verdana"/>
              <w:sz w:val="20"/>
              <w:szCs w:val="20"/>
            </w:rPr>
          </w:pPr>
          <w:r>
            <w:rPr>
              <w:rFonts w:ascii="Verdana" w:hAnsi="Verdana"/>
              <w:sz w:val="20"/>
              <w:u w:val="single"/>
            </w:rPr>
            <w:t>De GRECO</w:t>
          </w:r>
          <w:r>
            <w:rPr>
              <w:rFonts w:ascii="Verdana" w:hAnsi="Verdana"/>
              <w:sz w:val="20"/>
            </w:rPr>
            <w:t xml:space="preserve"> </w:t>
          </w:r>
          <w:bookmarkEnd w:id="7"/>
          <w:r>
            <w:rPr>
              <w:rFonts w:ascii="Verdana" w:hAnsi="Verdana"/>
              <w:sz w:val="20"/>
            </w:rPr>
            <w:t xml:space="preserve">tekent op dat er parlementaire werkzaamheden aan de gang zijn met betrekking tot de relaties tussen de parlementsleden en lobbyisten, en spoort de Belgische overheid aan om dit werk voort te zetten zodat de transparantie van zulke relaties verzekerd wordt. </w:t>
          </w:r>
        </w:p>
        <w:p w14:paraId="6CC4BBE8" w14:textId="77777777" w:rsidR="00BF29D9" w:rsidRPr="00F0435E" w:rsidRDefault="00BF29D9" w:rsidP="00BF29D9">
          <w:pPr>
            <w:jc w:val="both"/>
            <w:rPr>
              <w:rFonts w:ascii="Verdana" w:hAnsi="Verdana"/>
              <w:sz w:val="20"/>
              <w:szCs w:val="20"/>
            </w:rPr>
          </w:pPr>
        </w:p>
        <w:p w14:paraId="1FB67B62" w14:textId="7FC76F6C" w:rsidR="007C6961" w:rsidRPr="00F0435E" w:rsidRDefault="0090638E" w:rsidP="002C6643">
          <w:pPr>
            <w:numPr>
              <w:ilvl w:val="0"/>
              <w:numId w:val="29"/>
            </w:numPr>
            <w:jc w:val="both"/>
            <w:rPr>
              <w:rFonts w:ascii="Verdana" w:hAnsi="Verdana"/>
              <w:sz w:val="20"/>
              <w:szCs w:val="20"/>
              <w:u w:val="single"/>
            </w:rPr>
          </w:pPr>
          <w:r>
            <w:rPr>
              <w:rFonts w:ascii="Verdana" w:hAnsi="Verdana"/>
              <w:sz w:val="20"/>
              <w:u w:val="single"/>
            </w:rPr>
            <w:t xml:space="preserve">De GRECO besluit dat aanbeveling ii gedeeltelijk ten uitvoer gelegd blijft. </w:t>
          </w:r>
        </w:p>
        <w:p w14:paraId="36A8148D" w14:textId="77777777" w:rsidR="00087805" w:rsidRPr="00F0435E" w:rsidRDefault="00087805" w:rsidP="002C6643">
          <w:pPr>
            <w:ind w:left="567" w:hanging="567"/>
            <w:jc w:val="both"/>
            <w:rPr>
              <w:rFonts w:ascii="Verdana" w:hAnsi="Verdana"/>
              <w:sz w:val="20"/>
              <w:szCs w:val="20"/>
            </w:rPr>
          </w:pPr>
        </w:p>
        <w:p w14:paraId="692936AB" w14:textId="77777777" w:rsidR="005E27C1" w:rsidRPr="00F0435E" w:rsidRDefault="00F07121" w:rsidP="002C6643">
          <w:pPr>
            <w:tabs>
              <w:tab w:val="left" w:pos="567"/>
            </w:tabs>
            <w:ind w:left="567"/>
            <w:contextualSpacing/>
            <w:jc w:val="both"/>
            <w:rPr>
              <w:rFonts w:ascii="Verdana" w:hAnsi="Verdana" w:cstheme="minorHAnsi"/>
              <w:b/>
              <w:bCs/>
              <w:sz w:val="20"/>
              <w:szCs w:val="20"/>
            </w:rPr>
          </w:pPr>
          <w:r>
            <w:rPr>
              <w:rFonts w:ascii="Verdana" w:hAnsi="Verdana"/>
              <w:b/>
              <w:sz w:val="20"/>
            </w:rPr>
            <w:t xml:space="preserve">Aanbeveling iii. </w:t>
          </w:r>
        </w:p>
        <w:p w14:paraId="6D2328F7" w14:textId="77777777" w:rsidR="005E27C1" w:rsidRPr="00F0435E" w:rsidRDefault="005E27C1"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p>
        <w:p w14:paraId="78E78CAE" w14:textId="77777777" w:rsidR="005E27C1" w:rsidRPr="00F0435E" w:rsidRDefault="0090638E" w:rsidP="002C6643">
          <w:pPr>
            <w:numPr>
              <w:ilvl w:val="0"/>
              <w:numId w:val="29"/>
            </w:numPr>
            <w:jc w:val="both"/>
            <w:rPr>
              <w:rFonts w:ascii="Verdana" w:hAnsi="Verdana" w:cstheme="minorHAnsi"/>
              <w:i/>
              <w:iCs/>
              <w:sz w:val="20"/>
              <w:szCs w:val="20"/>
            </w:rPr>
          </w:pPr>
          <w:r>
            <w:rPr>
              <w:rFonts w:ascii="Verdana" w:hAnsi="Verdana"/>
              <w:i/>
              <w:sz w:val="20"/>
            </w:rPr>
            <w:t xml:space="preserve">De GRECO had aanbevolen dat i) het stelsel van de aangiften duidelijk de inkomsten, de verschillende vermogensbestanddelen en een schatting van hun waarde zou omvatten – ongeacht de vorm ervan (met inbegrip van die welke rechtstreeks of onrechtstreeks, in België of in het buitenland in het bezit zijn) – alsook de passieve bestanddelen, met een bijwerking van de informatie in de loop van het mandaat; ii) </w:t>
          </w:r>
          <w:r>
            <w:rPr>
              <w:rFonts w:ascii="Verdana" w:hAnsi="Verdana"/>
              <w:i/>
              <w:sz w:val="20"/>
            </w:rPr>
            <w:lastRenderedPageBreak/>
            <w:t>zou worden onderzocht of het wenselijk is dat het mechanisme wordt uitgebreid zodat het informatie bevat over de echtgeno(o)t(e) en de familieleden ten laste (met dien verstande dat die informatie niet noodzakelijk openbaar wordt gemaakt).</w:t>
          </w:r>
        </w:p>
        <w:p w14:paraId="660CE047" w14:textId="77777777" w:rsidR="00E6664C" w:rsidRPr="00F0435E" w:rsidRDefault="00E6664C" w:rsidP="002C6643">
          <w:pPr>
            <w:ind w:left="1080"/>
            <w:jc w:val="both"/>
            <w:rPr>
              <w:rFonts w:ascii="Verdana" w:hAnsi="Verdana" w:cstheme="minorHAnsi"/>
              <w:i/>
              <w:iCs/>
              <w:sz w:val="20"/>
              <w:szCs w:val="20"/>
            </w:rPr>
          </w:pPr>
        </w:p>
        <w:p w14:paraId="1704E162" w14:textId="0E671A35" w:rsidR="00F339F0" w:rsidRPr="002374FF" w:rsidRDefault="00170FCE" w:rsidP="004043E4">
          <w:pPr>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Meer bepaald had de GRECO voordien erkend dat er voor het eerste gedeelte van de aanbeveling reeds enige stappen waren gezet, met de wetten die zijn aangenomen door de Kamer van volksvertegenwoordigers op 1 maart 2018 - aangaande de publieke brutovergoedingen die jaarlijks moeten worden aangegeven en de aangiftes van vergoedingen voor de uitoefening van particuliere activiteiten - waarbij hij evenwel betreurde dat enkel grootteordes dienden te worden aangegeven. Sindsdien waren er evenwel geen verdere maatregelen inzake de vermogensaangifte van parlementsleden meer genomen. De GRECO had bijgevolg de overheid aangespoord om snel bijkomende maatregelen inzake de vermogensaangifte van parlementsleden aan te nemen en ten uitvoer te leggen.</w:t>
          </w:r>
        </w:p>
        <w:p w14:paraId="31471B0F" w14:textId="77777777" w:rsidR="00170FCE" w:rsidRPr="00F0435E" w:rsidRDefault="00170FCE" w:rsidP="00F22E93">
          <w:pPr>
            <w:pStyle w:val="Paragraphedeliste"/>
            <w:tabs>
              <w:tab w:val="left" w:pos="567"/>
            </w:tabs>
            <w:ind w:left="567" w:hanging="567"/>
            <w:contextualSpacing/>
            <w:jc w:val="both"/>
            <w:rPr>
              <w:rFonts w:ascii="Verdana" w:hAnsi="Verdana" w:cstheme="minorHAnsi"/>
              <w:sz w:val="20"/>
            </w:rPr>
          </w:pPr>
        </w:p>
        <w:p w14:paraId="0FE5D99B" w14:textId="4672F2C5" w:rsidR="00C66F2B" w:rsidRDefault="00BF1E0E" w:rsidP="00C66F2B">
          <w:pPr>
            <w:numPr>
              <w:ilvl w:val="0"/>
              <w:numId w:val="29"/>
            </w:numPr>
            <w:jc w:val="both"/>
            <w:rPr>
              <w:rFonts w:ascii="Verdana" w:hAnsi="Verdana"/>
              <w:sz w:val="20"/>
              <w:szCs w:val="20"/>
            </w:rPr>
          </w:pPr>
          <w:r>
            <w:rPr>
              <w:rFonts w:ascii="Verdana" w:hAnsi="Verdana"/>
              <w:sz w:val="20"/>
              <w:u w:val="single"/>
            </w:rPr>
            <w:t>De Belgische overheid</w:t>
          </w:r>
          <w:r>
            <w:rPr>
              <w:rFonts w:ascii="Verdana" w:hAnsi="Verdana"/>
              <w:sz w:val="20"/>
            </w:rPr>
            <w:t xml:space="preserve"> </w:t>
          </w:r>
          <w:bookmarkStart w:id="8" w:name="_Hlk62824891"/>
          <w:r>
            <w:rPr>
              <w:rFonts w:ascii="Verdana" w:hAnsi="Verdana"/>
              <w:sz w:val="20"/>
            </w:rPr>
            <w:t>geeft thans aan dat een voorstel van bijzondere wet is uitgewerkt door een interparlementaire werkgroep, waarin wordt bepaald dat de vermogensaangifte van de parlementsleden jaarlijks moet worden ingediend en een overzicht van de bestaande schulden van de aangever moet omvatten, alsook een raming van de waarde van de diverse bestanddelen van hun vermogen. Deze voorstellen moeten nog worden voorgelegd aan de Conferentie van de voorzitters van de parlementaire assemblees, met het oog op de indiening van het wetsvoorstel in de Kamer van volksvertegenwoordigers.</w:t>
          </w:r>
        </w:p>
        <w:p w14:paraId="216BE0DE" w14:textId="77777777" w:rsidR="009C69D8" w:rsidRDefault="009C69D8" w:rsidP="009C69D8">
          <w:pPr>
            <w:pStyle w:val="Paragraphedeliste"/>
            <w:rPr>
              <w:rFonts w:ascii="Verdana" w:hAnsi="Verdana"/>
              <w:sz w:val="20"/>
              <w:szCs w:val="20"/>
            </w:rPr>
          </w:pPr>
        </w:p>
        <w:p w14:paraId="1EF4DD34" w14:textId="6C17EF87" w:rsidR="009C69D8" w:rsidRPr="009C69D8" w:rsidRDefault="009C69D8" w:rsidP="00C66F2B">
          <w:pPr>
            <w:numPr>
              <w:ilvl w:val="0"/>
              <w:numId w:val="29"/>
            </w:numPr>
            <w:jc w:val="both"/>
            <w:rPr>
              <w:rFonts w:ascii="Verdana" w:hAnsi="Verdana"/>
              <w:sz w:val="20"/>
              <w:szCs w:val="20"/>
              <w:u w:val="single"/>
            </w:rPr>
          </w:pPr>
          <w:r>
            <w:rPr>
              <w:rFonts w:ascii="Verdana" w:hAnsi="Verdana"/>
              <w:sz w:val="20"/>
              <w:u w:val="single"/>
            </w:rPr>
            <w:t>De GRECO</w:t>
          </w:r>
          <w:r>
            <w:rPr>
              <w:rFonts w:ascii="Verdana" w:hAnsi="Verdana"/>
              <w:sz w:val="20"/>
            </w:rPr>
            <w:t xml:space="preserve"> tekent op dat de parlementaire werkzaamheden met het oog op de verdere consolidering van het stelsel van vermogensaangiften van de parlementsleden nog steeds aan de gang zijn, en spoort de overheid aan om ze af te ronden en daarbij rekening te houden met zijn aanbeveling. </w:t>
          </w:r>
        </w:p>
        <w:bookmarkEnd w:id="8"/>
        <w:p w14:paraId="676E6A9E" w14:textId="77777777" w:rsidR="009C69D8" w:rsidRPr="00F0435E" w:rsidRDefault="009C69D8" w:rsidP="00C66F2B">
          <w:pPr>
            <w:ind w:left="567"/>
            <w:jc w:val="both"/>
            <w:rPr>
              <w:rFonts w:ascii="Verdana" w:hAnsi="Verdana"/>
              <w:sz w:val="20"/>
              <w:szCs w:val="20"/>
            </w:rPr>
          </w:pPr>
        </w:p>
        <w:p w14:paraId="61237E67" w14:textId="6746AB34" w:rsidR="00EE1998" w:rsidRPr="00F0435E" w:rsidRDefault="00C66F2B" w:rsidP="00C66F2B">
          <w:pPr>
            <w:numPr>
              <w:ilvl w:val="0"/>
              <w:numId w:val="29"/>
            </w:numPr>
            <w:jc w:val="both"/>
            <w:rPr>
              <w:rFonts w:ascii="Verdana" w:hAnsi="Verdana"/>
              <w:sz w:val="20"/>
              <w:szCs w:val="20"/>
            </w:rPr>
          </w:pPr>
          <w:r>
            <w:rPr>
              <w:rFonts w:ascii="Verdana" w:hAnsi="Verdana"/>
              <w:sz w:val="20"/>
              <w:u w:val="single"/>
            </w:rPr>
            <w:t>De GRECO</w:t>
          </w:r>
          <w:r>
            <w:rPr>
              <w:rFonts w:ascii="Verdana" w:hAnsi="Verdana"/>
              <w:sz w:val="20"/>
            </w:rPr>
            <w:t xml:space="preserve"> </w:t>
          </w:r>
          <w:r>
            <w:rPr>
              <w:rFonts w:ascii="Verdana" w:hAnsi="Verdana"/>
              <w:sz w:val="20"/>
              <w:u w:val="single"/>
            </w:rPr>
            <w:t xml:space="preserve">besluit dat aanbeveling iii gedeeltelijk ten uitvoer gelegd blijft. </w:t>
          </w:r>
        </w:p>
        <w:p w14:paraId="29B52D61" w14:textId="77777777" w:rsidR="009F0C5F" w:rsidRPr="00F0435E" w:rsidRDefault="009F0C5F" w:rsidP="002C6643">
          <w:pPr>
            <w:ind w:left="567" w:hanging="567"/>
            <w:jc w:val="both"/>
            <w:rPr>
              <w:rFonts w:ascii="Verdana" w:hAnsi="Verdana"/>
              <w:sz w:val="20"/>
              <w:szCs w:val="20"/>
            </w:rPr>
          </w:pPr>
        </w:p>
        <w:p w14:paraId="269AB4A9" w14:textId="3A76DA01" w:rsidR="00F91369" w:rsidRPr="00F0435E" w:rsidRDefault="00F91369" w:rsidP="002C6643">
          <w:pPr>
            <w:tabs>
              <w:tab w:val="left" w:pos="567"/>
            </w:tabs>
            <w:ind w:left="567"/>
            <w:contextualSpacing/>
            <w:jc w:val="both"/>
            <w:rPr>
              <w:rFonts w:ascii="Verdana" w:hAnsi="Verdana" w:cstheme="minorHAnsi"/>
              <w:b/>
              <w:bCs/>
              <w:sz w:val="20"/>
              <w:szCs w:val="20"/>
            </w:rPr>
          </w:pPr>
          <w:r>
            <w:rPr>
              <w:rFonts w:ascii="Verdana" w:hAnsi="Verdana"/>
              <w:b/>
              <w:sz w:val="20"/>
            </w:rPr>
            <w:t xml:space="preserve">Aanbeveling iv. </w:t>
          </w:r>
        </w:p>
        <w:p w14:paraId="181189BE" w14:textId="77777777" w:rsidR="00F91369" w:rsidRPr="00F0435E" w:rsidRDefault="00F91369"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p>
        <w:p w14:paraId="73DE0966" w14:textId="77777777" w:rsidR="00F91369" w:rsidRPr="00F0435E" w:rsidRDefault="00F91369" w:rsidP="002C6643">
          <w:pPr>
            <w:numPr>
              <w:ilvl w:val="0"/>
              <w:numId w:val="29"/>
            </w:numPr>
            <w:jc w:val="both"/>
            <w:rPr>
              <w:rFonts w:ascii="Verdana" w:hAnsi="Verdana" w:cstheme="minorHAnsi"/>
              <w:i/>
              <w:iCs/>
              <w:sz w:val="20"/>
              <w:szCs w:val="20"/>
            </w:rPr>
          </w:pPr>
          <w:r>
            <w:rPr>
              <w:rFonts w:ascii="Verdana" w:hAnsi="Verdana"/>
              <w:i/>
              <w:sz w:val="20"/>
            </w:rPr>
            <w:t>De GRECO had aanbevolen dat de verschillende aangiften, daaronder begrepen inzake het vermogen, aangevuld met onder meer informatie over de inkomsten, openbaar zouden worden gemaakt en dat de toegang ertoe zou worden vergemakkelijkt via een officiële website.</w:t>
          </w:r>
        </w:p>
        <w:p w14:paraId="281B83EB" w14:textId="77777777" w:rsidR="00F91369" w:rsidRPr="00F0435E" w:rsidRDefault="00F91369" w:rsidP="002C6643">
          <w:pPr>
            <w:pStyle w:val="Paragraphedeliste"/>
            <w:ind w:left="1134"/>
            <w:contextualSpacing/>
            <w:jc w:val="both"/>
            <w:rPr>
              <w:rFonts w:ascii="Verdana" w:hAnsi="Verdana" w:cstheme="minorHAnsi"/>
              <w:i/>
              <w:sz w:val="20"/>
              <w:szCs w:val="20"/>
            </w:rPr>
          </w:pPr>
        </w:p>
        <w:p w14:paraId="4EE38A8A" w14:textId="3DFBF1DF" w:rsidR="0086783C" w:rsidRPr="0086783C" w:rsidRDefault="00BF2726" w:rsidP="00804DE4">
          <w:pPr>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kon eerder, weliswaar als enige stap in de goede richting, nota nemen van het voornemen om in het biografisch overzicht van de parlementsleden een link op te nemen naar hun mandaataangifte die openbaar is gemaakt door het Rekenhof, en bepaalde gegevens over vergoedingen. Hij wees erop dat er sindsdien geen enkele bijkomende maatregel meer is genomen, waarbij de overheid genoegen heeft genomen met uiting te geven aan haar intentie om over te gaan tot parlementaire werkzaamheden, in samenspraak met de uitvoerende macht, die moeten uitmonden in gemeenschappelijke regels.</w:t>
          </w:r>
        </w:p>
        <w:p w14:paraId="26C9C3A8" w14:textId="77777777" w:rsidR="00BF2726" w:rsidRPr="00F0435E" w:rsidRDefault="00BF2726" w:rsidP="00BF2726">
          <w:pPr>
            <w:pStyle w:val="Paragraphedeliste"/>
            <w:rPr>
              <w:rFonts w:ascii="Verdana" w:hAnsi="Verdana" w:cstheme="minorHAnsi"/>
              <w:sz w:val="20"/>
              <w:szCs w:val="20"/>
            </w:rPr>
          </w:pPr>
        </w:p>
        <w:p w14:paraId="2563C0CD" w14:textId="6C9484CF" w:rsidR="00BF2726" w:rsidRPr="00F0435E" w:rsidRDefault="0004620F" w:rsidP="0065340A">
          <w:pPr>
            <w:pStyle w:val="Paragraphedeliste"/>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nu aan dat er thans parlementaire werkzaamheden aan de gang zijn, ter aanvulling van de bepalingen betreffende de vermogensaangifte van de parlementsleden (zie paragraaf 20 supra). </w:t>
          </w:r>
        </w:p>
        <w:p w14:paraId="7EE837DC" w14:textId="77777777" w:rsidR="00BF2726" w:rsidRPr="00F0435E" w:rsidRDefault="00BF2726" w:rsidP="00BF2726">
          <w:pPr>
            <w:pStyle w:val="Paragraphedeliste"/>
            <w:rPr>
              <w:rFonts w:ascii="Verdana" w:hAnsi="Verdana" w:cstheme="minorHAnsi"/>
              <w:sz w:val="20"/>
              <w:szCs w:val="20"/>
            </w:rPr>
          </w:pPr>
        </w:p>
        <w:p w14:paraId="2DB3E663" w14:textId="5E704638" w:rsidR="00F91369" w:rsidRPr="00B53E07" w:rsidRDefault="00BF2726" w:rsidP="00D075A7">
          <w:pPr>
            <w:numPr>
              <w:ilvl w:val="0"/>
              <w:numId w:val="29"/>
            </w:numPr>
            <w:jc w:val="both"/>
            <w:rPr>
              <w:rFonts w:ascii="Verdana" w:hAnsi="Verdana" w:cstheme="minorHAnsi"/>
              <w:sz w:val="20"/>
              <w:szCs w:val="20"/>
              <w:u w:val="single"/>
            </w:rPr>
          </w:pPr>
          <w:r>
            <w:rPr>
              <w:rFonts w:ascii="Verdana" w:hAnsi="Verdana"/>
              <w:sz w:val="20"/>
              <w:u w:val="single"/>
            </w:rPr>
            <w:t>De GRECO</w:t>
          </w:r>
          <w:r>
            <w:rPr>
              <w:rFonts w:ascii="Verdana" w:hAnsi="Verdana"/>
              <w:sz w:val="20"/>
            </w:rPr>
            <w:t xml:space="preserve"> neemt nota van de lopende parlementaire werkzaamheden ter verdere consolidering van het stelsel van vermogensaangiften van de parlementsleden en </w:t>
          </w:r>
          <w:r>
            <w:rPr>
              <w:rFonts w:ascii="Verdana" w:hAnsi="Verdana"/>
              <w:sz w:val="20"/>
              <w:u w:val="single"/>
            </w:rPr>
            <w:lastRenderedPageBreak/>
            <w:t>kan enkel concluderen</w:t>
          </w:r>
          <w:r>
            <w:rPr>
              <w:rFonts w:ascii="Verdana" w:hAnsi="Verdana"/>
              <w:sz w:val="20"/>
            </w:rPr>
            <w:t xml:space="preserve">, in afwachting van de voltooiing van dat werk, </w:t>
          </w:r>
          <w:r>
            <w:rPr>
              <w:rFonts w:ascii="Verdana" w:hAnsi="Verdana"/>
              <w:sz w:val="20"/>
              <w:u w:val="single"/>
            </w:rPr>
            <w:t xml:space="preserve">dat aanbeveling iv gedeeltelijk ten uitvoer gelegd blijft. </w:t>
          </w:r>
        </w:p>
        <w:p w14:paraId="699A3A5B" w14:textId="77777777" w:rsidR="00F91369" w:rsidRPr="00F0435E" w:rsidRDefault="00F91369" w:rsidP="002C6643">
          <w:pPr>
            <w:ind w:left="567" w:hanging="567"/>
            <w:jc w:val="both"/>
            <w:rPr>
              <w:rFonts w:ascii="Verdana" w:hAnsi="Verdana"/>
              <w:sz w:val="20"/>
              <w:szCs w:val="20"/>
            </w:rPr>
          </w:pPr>
        </w:p>
        <w:p w14:paraId="5CBD9F75" w14:textId="77777777" w:rsidR="00E22648" w:rsidRPr="00F0435E" w:rsidRDefault="00E22648" w:rsidP="002C6643">
          <w:pPr>
            <w:tabs>
              <w:tab w:val="left" w:pos="567"/>
            </w:tabs>
            <w:ind w:left="567"/>
            <w:contextualSpacing/>
            <w:jc w:val="both"/>
            <w:rPr>
              <w:rFonts w:ascii="Verdana" w:hAnsi="Verdana" w:cstheme="minorHAnsi"/>
              <w:b/>
              <w:bCs/>
              <w:sz w:val="20"/>
              <w:szCs w:val="20"/>
            </w:rPr>
          </w:pPr>
          <w:r>
            <w:rPr>
              <w:rFonts w:ascii="Verdana" w:hAnsi="Verdana"/>
              <w:b/>
              <w:sz w:val="20"/>
            </w:rPr>
            <w:t>Aanbeveling v.</w:t>
          </w:r>
        </w:p>
        <w:p w14:paraId="719B22A5" w14:textId="77777777" w:rsidR="0080282E" w:rsidRPr="00F0435E" w:rsidRDefault="0080282E" w:rsidP="002C6643">
          <w:pPr>
            <w:ind w:left="567" w:hanging="567"/>
            <w:jc w:val="both"/>
            <w:rPr>
              <w:rFonts w:ascii="Verdana" w:hAnsi="Verdana"/>
              <w:sz w:val="20"/>
              <w:szCs w:val="20"/>
            </w:rPr>
          </w:pPr>
        </w:p>
        <w:p w14:paraId="678CF74B" w14:textId="77777777" w:rsidR="00E22648" w:rsidRPr="00F0435E" w:rsidRDefault="00E22648" w:rsidP="002C6643">
          <w:pPr>
            <w:numPr>
              <w:ilvl w:val="0"/>
              <w:numId w:val="29"/>
            </w:numPr>
            <w:contextualSpacing/>
            <w:jc w:val="both"/>
            <w:rPr>
              <w:rFonts w:ascii="Verdana" w:hAnsi="Verdana" w:cstheme="minorHAnsi"/>
              <w:i/>
              <w:sz w:val="20"/>
              <w:szCs w:val="20"/>
            </w:rPr>
          </w:pPr>
          <w:r>
            <w:rPr>
              <w:rFonts w:ascii="Verdana" w:hAnsi="Verdana"/>
              <w:i/>
              <w:sz w:val="20"/>
            </w:rPr>
            <w:t>De GRECO had aanbevolen dat i) de naleving van de huidige en toekomstige regels inzake de integriteit van de parlementsleden, opgenomen in de deontologische regels en andere relevante regels (zoals die inzake giften) aan een doeltreffende controle door de kamers zelf zouden worden onderworpen in plaats van enkel door de parlementaire fracties en dat aan de toekomstige Federale Deontologische Commissie tegelijkertijd de mogelijkheid zou worden gegeven om ambtshalve op te treden in individuele gevallen; ii) de aangiften van mandaten en vermogen zouden worden onderworpen aan een doeltreffende controle door de rol van en de interactie met het Rekenhof en het parket te versterken of door indien nodig een andere instelling aan te wijzen die over de passende middelen beschikt om dat te doen.</w:t>
          </w:r>
        </w:p>
        <w:p w14:paraId="25F7F30E" w14:textId="77777777" w:rsidR="00152FF6" w:rsidRPr="00F0435E" w:rsidRDefault="00152FF6" w:rsidP="002C6643">
          <w:pPr>
            <w:contextualSpacing/>
            <w:jc w:val="both"/>
            <w:rPr>
              <w:rFonts w:ascii="Verdana" w:hAnsi="Verdana" w:cstheme="minorHAnsi"/>
              <w:i/>
              <w:sz w:val="20"/>
              <w:szCs w:val="20"/>
            </w:rPr>
          </w:pPr>
        </w:p>
        <w:p w14:paraId="76DFF1E0" w14:textId="5C34C5D2" w:rsidR="00CB73AD" w:rsidRPr="00CB73AD" w:rsidRDefault="00F22E93" w:rsidP="00CB73AD">
          <w:pPr>
            <w:numPr>
              <w:ilvl w:val="0"/>
              <w:numId w:val="29"/>
            </w:numPr>
            <w:contextualSpacing/>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w:t>
          </w:r>
          <w:r>
            <w:t xml:space="preserve"> </w:t>
          </w:r>
          <w:r>
            <w:rPr>
              <w:rFonts w:ascii="Verdana" w:hAnsi="Verdana"/>
              <w:sz w:val="20"/>
            </w:rPr>
            <w:t xml:space="preserve">Meer bepaald had de GRECO geen vorderingen met betrekking tot het eerste deel van de aanbeveling gezien. Wat het tweede deel betreft, had de GRECO voorheen een positief oordeel gegeven over de invoering van een elektronische toepassing voor de aangifte van de mandaten en toonde hij zich verheugd over de versterking van het griffiepersoneel van het Rekenhof, en over het intensifiëren van de contacten tussen het Rekenhof en het parket voor de toepassing van sancties, al betreurde hij dat de controle door het Rekenhof niet de mogelijkheid bood om aanzienlijke verschillen in vermogen voortvloeiend uit illegale verrijkingsbronnen aan het licht te brengen. Sindsdien waren geen verdere stappen opgetekend.  </w:t>
          </w:r>
        </w:p>
        <w:p w14:paraId="084F058E" w14:textId="77777777" w:rsidR="00CB73AD" w:rsidRPr="00CB73AD" w:rsidRDefault="00CB73AD" w:rsidP="00CB73AD">
          <w:pPr>
            <w:ind w:left="567"/>
            <w:contextualSpacing/>
            <w:jc w:val="both"/>
            <w:rPr>
              <w:rFonts w:ascii="Verdana" w:hAnsi="Verdana" w:cstheme="minorHAnsi"/>
              <w:sz w:val="20"/>
              <w:szCs w:val="20"/>
            </w:rPr>
          </w:pPr>
        </w:p>
        <w:p w14:paraId="4A502D42" w14:textId="5A6E1003" w:rsidR="0058590D" w:rsidRPr="00F0435E" w:rsidRDefault="00B66EB2" w:rsidP="0090105A">
          <w:pPr>
            <w:numPr>
              <w:ilvl w:val="0"/>
              <w:numId w:val="29"/>
            </w:numPr>
            <w:contextualSpacing/>
            <w:jc w:val="both"/>
            <w:rPr>
              <w:rFonts w:ascii="Verdana" w:hAnsi="Verdana" w:cstheme="minorHAnsi"/>
              <w:i/>
              <w:sz w:val="20"/>
              <w:szCs w:val="20"/>
            </w:rPr>
          </w:pPr>
          <w:bookmarkStart w:id="9" w:name="_Hlk57138514"/>
          <w:r>
            <w:rPr>
              <w:rFonts w:ascii="Verdana" w:hAnsi="Verdana"/>
              <w:sz w:val="20"/>
              <w:u w:val="single"/>
            </w:rPr>
            <w:t>De Belgische overheid</w:t>
          </w:r>
          <w:r>
            <w:rPr>
              <w:rFonts w:ascii="Verdana" w:hAnsi="Verdana"/>
              <w:sz w:val="20"/>
            </w:rPr>
            <w:t xml:space="preserve"> bevestigt nu dat de voornoemde wetsvoorstellen (zie paragraaf 20 supra) erin voorzien dat de vermogensaangiften jaarlijks zullen moeten worden ingediend, waardoor het mogelijk wordt om aanzienlijke verschillen in vermogen voortvloeiend uit illegale verrijkingsbronnen aan het licht te brengen.</w:t>
          </w:r>
        </w:p>
        <w:p w14:paraId="00E522F5" w14:textId="77777777" w:rsidR="0058590D" w:rsidRPr="00F0435E" w:rsidRDefault="0058590D" w:rsidP="0055764A">
          <w:pPr>
            <w:pStyle w:val="Paragraphedeliste"/>
            <w:rPr>
              <w:rFonts w:ascii="Verdana" w:hAnsi="Verdana" w:cstheme="minorHAnsi"/>
              <w:sz w:val="20"/>
              <w:szCs w:val="20"/>
            </w:rPr>
          </w:pPr>
        </w:p>
        <w:p w14:paraId="50EB5ABE" w14:textId="366F8C24" w:rsidR="00785465" w:rsidRDefault="0058590D" w:rsidP="00F26A96">
          <w:pPr>
            <w:pStyle w:val="Paragraphedeliste"/>
            <w:numPr>
              <w:ilvl w:val="0"/>
              <w:numId w:val="29"/>
            </w:numPr>
            <w:jc w:val="both"/>
            <w:rPr>
              <w:rFonts w:ascii="Verdana" w:hAnsi="Verdana" w:cstheme="minorHAnsi"/>
              <w:sz w:val="20"/>
              <w:szCs w:val="20"/>
            </w:rPr>
          </w:pPr>
          <w:r>
            <w:rPr>
              <w:rFonts w:ascii="Verdana" w:hAnsi="Verdana"/>
              <w:sz w:val="20"/>
              <w:u w:val="single"/>
            </w:rPr>
            <w:t>De GRECO</w:t>
          </w:r>
          <w:r>
            <w:rPr>
              <w:rFonts w:ascii="Verdana" w:hAnsi="Verdana"/>
              <w:sz w:val="20"/>
            </w:rPr>
            <w:t xml:space="preserve"> tekent op dat hem geen nieuwe informatie is bezorgd over het eerste deel van de aanbeveling. Wat het tweede deel van de aanbeveling betreft, tekent hij op dat er parlementaire werkzaamheden aan de gang zijn om het stelsel van vermogensaangiften van de parlementsleden verder te consolideren.</w:t>
          </w:r>
        </w:p>
        <w:p w14:paraId="7005120C" w14:textId="77777777" w:rsidR="00785465" w:rsidRPr="00785465" w:rsidRDefault="00785465" w:rsidP="00785465">
          <w:pPr>
            <w:pStyle w:val="Paragraphedeliste"/>
            <w:rPr>
              <w:rFonts w:ascii="Verdana" w:hAnsi="Verdana" w:cstheme="minorHAnsi"/>
              <w:sz w:val="20"/>
              <w:szCs w:val="20"/>
            </w:rPr>
          </w:pPr>
        </w:p>
        <w:p w14:paraId="0B715F40" w14:textId="0C853674" w:rsidR="00B00DC6" w:rsidRPr="00F0435E" w:rsidRDefault="00785465" w:rsidP="0090105A">
          <w:pPr>
            <w:numPr>
              <w:ilvl w:val="0"/>
              <w:numId w:val="29"/>
            </w:numPr>
            <w:contextualSpacing/>
            <w:jc w:val="both"/>
            <w:rPr>
              <w:rFonts w:ascii="Verdana" w:hAnsi="Verdana" w:cstheme="minorHAnsi"/>
              <w:i/>
              <w:sz w:val="20"/>
              <w:szCs w:val="20"/>
            </w:rPr>
          </w:pPr>
          <w:r>
            <w:rPr>
              <w:rFonts w:ascii="Verdana" w:hAnsi="Verdana"/>
              <w:sz w:val="20"/>
              <w:u w:val="single"/>
            </w:rPr>
            <w:t>De GRECO besluit dat aanbeveling v gedeeltelijk ten uitvoer gelegd blijft.</w:t>
          </w:r>
        </w:p>
        <w:bookmarkEnd w:id="9"/>
        <w:p w14:paraId="175FD705" w14:textId="77777777" w:rsidR="00D07D9D" w:rsidRPr="00F0435E" w:rsidRDefault="00D07D9D" w:rsidP="002C6643">
          <w:pPr>
            <w:tabs>
              <w:tab w:val="left" w:pos="567"/>
            </w:tabs>
            <w:ind w:left="567"/>
            <w:contextualSpacing/>
            <w:jc w:val="both"/>
            <w:rPr>
              <w:rFonts w:ascii="Verdana" w:hAnsi="Verdana" w:cstheme="minorHAnsi"/>
              <w:b/>
              <w:bCs/>
              <w:sz w:val="20"/>
              <w:szCs w:val="20"/>
            </w:rPr>
          </w:pPr>
        </w:p>
        <w:p w14:paraId="52C89A34" w14:textId="77777777" w:rsidR="00EE1998" w:rsidRPr="00F0435E" w:rsidRDefault="00F07121" w:rsidP="002C6643">
          <w:pPr>
            <w:tabs>
              <w:tab w:val="left" w:pos="567"/>
            </w:tabs>
            <w:ind w:left="567"/>
            <w:contextualSpacing/>
            <w:jc w:val="both"/>
            <w:rPr>
              <w:rFonts w:ascii="Verdana" w:hAnsi="Verdana" w:cstheme="minorHAnsi"/>
              <w:b/>
              <w:bCs/>
              <w:sz w:val="20"/>
              <w:szCs w:val="20"/>
            </w:rPr>
          </w:pPr>
          <w:r>
            <w:rPr>
              <w:rFonts w:ascii="Verdana" w:hAnsi="Verdana"/>
              <w:b/>
              <w:sz w:val="20"/>
            </w:rPr>
            <w:t>Aanbeveling vi.</w:t>
          </w:r>
        </w:p>
        <w:p w14:paraId="74D0B05A" w14:textId="77777777" w:rsidR="00EE1998" w:rsidRPr="00F0435E" w:rsidRDefault="00EE1998"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p>
        <w:p w14:paraId="050A6961" w14:textId="77777777" w:rsidR="00EE1998" w:rsidRPr="00F0435E" w:rsidRDefault="00894E63" w:rsidP="002C6643">
          <w:pPr>
            <w:numPr>
              <w:ilvl w:val="0"/>
              <w:numId w:val="29"/>
            </w:numPr>
            <w:jc w:val="both"/>
            <w:rPr>
              <w:rFonts w:ascii="Verdana" w:hAnsi="Verdana" w:cstheme="minorHAnsi"/>
              <w:sz w:val="20"/>
              <w:szCs w:val="20"/>
            </w:rPr>
          </w:pPr>
          <w:r>
            <w:rPr>
              <w:rFonts w:ascii="Verdana" w:hAnsi="Verdana"/>
              <w:i/>
              <w:sz w:val="20"/>
            </w:rPr>
            <w:t>De GRECO had aanbevolen dat de overtredingen van de belangrijkste bestaande en toekomstige regels inzake de integriteit van de parlementsleden aanleiding zouden geven tot passende straffen en dat het publiek van de toepassing ervan op de hoogte zou worden gebracht.</w:t>
          </w:r>
        </w:p>
        <w:p w14:paraId="7B796B4D" w14:textId="77777777" w:rsidR="00EE1998" w:rsidRPr="00F0435E" w:rsidRDefault="00EE1998" w:rsidP="002C6643">
          <w:pPr>
            <w:tabs>
              <w:tab w:val="left" w:pos="567"/>
            </w:tabs>
            <w:ind w:left="567" w:hanging="567"/>
            <w:contextualSpacing/>
            <w:jc w:val="both"/>
            <w:rPr>
              <w:rFonts w:ascii="Verdana" w:hAnsi="Verdana" w:cstheme="minorHAnsi"/>
              <w:sz w:val="20"/>
              <w:szCs w:val="20"/>
            </w:rPr>
          </w:pPr>
        </w:p>
        <w:p w14:paraId="7C166A98" w14:textId="532619E4" w:rsidR="00344411" w:rsidRPr="00F0435E" w:rsidRDefault="00344411" w:rsidP="002C6643">
          <w:pPr>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had geen nieuwe informatie ter zake, met dien verstande dat hij eerder nota had genomen van de invoering van meer geleidelijke sancties opgelegd door het Rekenhof voor het overtreden van de regels inzake mandaataangiften, maar betreurde dat er geen sanctie bestaat voor de voornaamste overtredingen van de deontologische regels voor de parlementsleden.</w:t>
          </w:r>
        </w:p>
        <w:p w14:paraId="030452B7" w14:textId="77777777" w:rsidR="00AA1075" w:rsidRPr="00F0435E" w:rsidRDefault="00AA1075" w:rsidP="00AA1075">
          <w:pPr>
            <w:pStyle w:val="Paragraphedeliste"/>
            <w:rPr>
              <w:rFonts w:ascii="Verdana" w:hAnsi="Verdana" w:cstheme="minorHAnsi"/>
              <w:sz w:val="20"/>
              <w:szCs w:val="20"/>
            </w:rPr>
          </w:pPr>
        </w:p>
        <w:p w14:paraId="0F1B8C6D" w14:textId="796985EE" w:rsidR="009B477C" w:rsidRDefault="00AA1075" w:rsidP="00C63916">
          <w:pPr>
            <w:pStyle w:val="Paragraphedeliste"/>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nu aan dat er geen vorderingen op dit gebied gemaakt zijn. </w:t>
          </w:r>
        </w:p>
        <w:p w14:paraId="2EE6E2C1" w14:textId="77777777" w:rsidR="009B477C" w:rsidRPr="00BB0566" w:rsidRDefault="009B477C" w:rsidP="00BB0566">
          <w:pPr>
            <w:pStyle w:val="Paragraphedeliste"/>
            <w:rPr>
              <w:rFonts w:ascii="Verdana" w:hAnsi="Verdana" w:cstheme="minorHAnsi"/>
              <w:sz w:val="20"/>
              <w:szCs w:val="20"/>
            </w:rPr>
          </w:pPr>
        </w:p>
        <w:p w14:paraId="57E5F5F2" w14:textId="017BE538" w:rsidR="00AA1075" w:rsidRPr="001D1349" w:rsidRDefault="009B477C" w:rsidP="00C63916">
          <w:pPr>
            <w:pStyle w:val="Paragraphedeliste"/>
            <w:numPr>
              <w:ilvl w:val="0"/>
              <w:numId w:val="29"/>
            </w:numPr>
            <w:jc w:val="both"/>
            <w:rPr>
              <w:rFonts w:ascii="Verdana" w:hAnsi="Verdana" w:cstheme="minorHAnsi"/>
              <w:sz w:val="20"/>
              <w:szCs w:val="20"/>
            </w:rPr>
          </w:pPr>
          <w:r>
            <w:rPr>
              <w:rFonts w:ascii="Verdana" w:hAnsi="Verdana"/>
              <w:sz w:val="20"/>
              <w:u w:val="single"/>
            </w:rPr>
            <w:lastRenderedPageBreak/>
            <w:t>De GRECO</w:t>
          </w:r>
          <w:r>
            <w:rPr>
              <w:rFonts w:ascii="Verdana" w:hAnsi="Verdana"/>
              <w:sz w:val="20"/>
            </w:rPr>
            <w:t xml:space="preserve"> kan enkel maar </w:t>
          </w:r>
          <w:r>
            <w:rPr>
              <w:rFonts w:ascii="Verdana" w:hAnsi="Verdana"/>
              <w:sz w:val="20"/>
              <w:u w:val="single"/>
            </w:rPr>
            <w:t>besluiten dat aanbeveling vi gedeeltelijk ten uitvoer gelegd blijft</w:t>
          </w:r>
          <w:r>
            <w:rPr>
              <w:rFonts w:ascii="Verdana" w:hAnsi="Verdana"/>
              <w:sz w:val="20"/>
            </w:rPr>
            <w:t>.</w:t>
          </w:r>
          <w:r>
            <w:rPr>
              <w:rFonts w:ascii="Verdana" w:hAnsi="Verdana"/>
              <w:sz w:val="20"/>
              <w:u w:val="single"/>
            </w:rPr>
            <w:t xml:space="preserve"> </w:t>
          </w:r>
        </w:p>
        <w:p w14:paraId="2C1918FD" w14:textId="77777777" w:rsidR="00DB24C8" w:rsidRPr="00F0435E" w:rsidRDefault="00DB24C8" w:rsidP="002C6643">
          <w:pPr>
            <w:pStyle w:val="Paragraphedeliste"/>
            <w:jc w:val="both"/>
            <w:rPr>
              <w:rFonts w:ascii="Verdana" w:hAnsi="Verdana" w:cstheme="minorHAnsi"/>
              <w:sz w:val="20"/>
              <w:szCs w:val="20"/>
            </w:rPr>
          </w:pPr>
        </w:p>
        <w:p w14:paraId="59E064BF" w14:textId="77777777" w:rsidR="00A02764" w:rsidRPr="00F0435E" w:rsidRDefault="00F07121" w:rsidP="002C6643">
          <w:pPr>
            <w:ind w:left="567"/>
            <w:contextualSpacing/>
            <w:jc w:val="both"/>
            <w:rPr>
              <w:rFonts w:ascii="Verdana" w:hAnsi="Verdana" w:cstheme="minorHAnsi"/>
              <w:b/>
              <w:bCs/>
              <w:sz w:val="20"/>
              <w:szCs w:val="20"/>
            </w:rPr>
          </w:pPr>
          <w:r>
            <w:rPr>
              <w:rFonts w:ascii="Verdana" w:hAnsi="Verdana"/>
              <w:b/>
              <w:sz w:val="20"/>
            </w:rPr>
            <w:t>Aanbeveling viii.</w:t>
          </w:r>
        </w:p>
        <w:p w14:paraId="1085CE21" w14:textId="77777777" w:rsidR="00A02764" w:rsidRPr="00F0435E" w:rsidRDefault="00A02764" w:rsidP="002C6643">
          <w:pPr>
            <w:ind w:left="567" w:hanging="567"/>
            <w:contextualSpacing/>
            <w:jc w:val="both"/>
            <w:rPr>
              <w:rFonts w:ascii="Verdana" w:hAnsi="Verdana" w:cstheme="minorHAnsi"/>
              <w:b/>
              <w:bCs/>
              <w:sz w:val="20"/>
              <w:szCs w:val="20"/>
            </w:rPr>
          </w:pPr>
        </w:p>
        <w:p w14:paraId="78417A30" w14:textId="77777777" w:rsidR="00A02764" w:rsidRPr="00F0435E" w:rsidRDefault="00894E63" w:rsidP="002C6643">
          <w:pPr>
            <w:numPr>
              <w:ilvl w:val="0"/>
              <w:numId w:val="29"/>
            </w:numPr>
            <w:jc w:val="both"/>
            <w:rPr>
              <w:rFonts w:ascii="Verdana" w:hAnsi="Verdana" w:cstheme="minorHAnsi"/>
              <w:i/>
              <w:iCs/>
              <w:sz w:val="20"/>
              <w:szCs w:val="20"/>
            </w:rPr>
          </w:pPr>
          <w:r>
            <w:rPr>
              <w:rFonts w:ascii="Verdana" w:hAnsi="Verdana"/>
              <w:i/>
              <w:sz w:val="20"/>
            </w:rPr>
            <w:t>De GRECO had aanbevolen om binnen de twee kamers van het parlement aan alle parlementsleden geregeld gespecialiseerde opleidingen te geven over aangelegenheden inzake integriteit.</w:t>
          </w:r>
        </w:p>
        <w:p w14:paraId="02F9781B" w14:textId="77777777" w:rsidR="00BC0205" w:rsidRPr="00F0435E" w:rsidRDefault="00BC0205" w:rsidP="002C6643">
          <w:pPr>
            <w:pStyle w:val="question"/>
            <w:numPr>
              <w:ilvl w:val="0"/>
              <w:numId w:val="0"/>
            </w:numPr>
            <w:ind w:left="567" w:hanging="567"/>
            <w:contextualSpacing/>
            <w:rPr>
              <w:rFonts w:ascii="Verdana" w:hAnsi="Verdana" w:cstheme="minorHAnsi"/>
              <w:sz w:val="20"/>
              <w:lang w:eastAsia="fr-FR"/>
            </w:rPr>
          </w:pPr>
        </w:p>
        <w:p w14:paraId="22D0299F" w14:textId="5ED4623C" w:rsidR="00112520" w:rsidRPr="00112520" w:rsidRDefault="003F402D" w:rsidP="00112520">
          <w:pPr>
            <w:pStyle w:val="Paragraphedeliste"/>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was met name opgetogen over de organisatie van een eerste opleidingssessie over integriteitsaangelegenheden voor de parlementsleden, die evenwel nog niet gelijkstond met een gespecialiseerde en regelmatige opleiding over de inhoudelijke kwesties.</w:t>
          </w:r>
        </w:p>
        <w:p w14:paraId="76F02959" w14:textId="77777777" w:rsidR="00087175" w:rsidRPr="00F0435E" w:rsidRDefault="00087175" w:rsidP="002C6643">
          <w:pPr>
            <w:pStyle w:val="question"/>
            <w:numPr>
              <w:ilvl w:val="0"/>
              <w:numId w:val="0"/>
            </w:numPr>
            <w:ind w:left="567" w:hanging="567"/>
            <w:contextualSpacing/>
            <w:rPr>
              <w:rFonts w:ascii="Verdana" w:hAnsi="Verdana" w:cstheme="minorHAnsi"/>
              <w:sz w:val="20"/>
              <w:lang w:eastAsia="fr-FR"/>
            </w:rPr>
          </w:pPr>
        </w:p>
        <w:p w14:paraId="46D4BF27" w14:textId="48EA2D91" w:rsidR="00845655" w:rsidRPr="00845655" w:rsidRDefault="00BF1E0E" w:rsidP="00845655">
          <w:pPr>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nu aan dat de Federale Deontologische Commissie vóór de zomer van 2022 een volgende opleiding voor de parlementsleden moet organiseren rond inhoudelijke aangelegenheden met betrekking tot de parlementaire medewerkers, belangenconflicten en contacten met lobbyisten.</w:t>
          </w:r>
        </w:p>
        <w:p w14:paraId="6AB625A4" w14:textId="77777777" w:rsidR="00845655" w:rsidRPr="00845655" w:rsidRDefault="00845655" w:rsidP="00845655">
          <w:pPr>
            <w:ind w:left="567"/>
            <w:jc w:val="both"/>
            <w:rPr>
              <w:rFonts w:ascii="Verdana" w:hAnsi="Verdana" w:cstheme="minorHAnsi"/>
              <w:sz w:val="20"/>
              <w:szCs w:val="20"/>
            </w:rPr>
          </w:pPr>
        </w:p>
        <w:p w14:paraId="301297DC" w14:textId="28D83DEF" w:rsidR="004111F9" w:rsidRPr="00F0435E" w:rsidRDefault="00230611" w:rsidP="002C6643">
          <w:pPr>
            <w:numPr>
              <w:ilvl w:val="0"/>
              <w:numId w:val="29"/>
            </w:numPr>
            <w:jc w:val="both"/>
            <w:rPr>
              <w:rFonts w:ascii="Verdana" w:hAnsi="Verdana" w:cstheme="minorHAnsi"/>
              <w:sz w:val="20"/>
              <w:szCs w:val="20"/>
            </w:rPr>
          </w:pPr>
          <w:r>
            <w:rPr>
              <w:rFonts w:ascii="Verdana" w:hAnsi="Verdana"/>
              <w:sz w:val="20"/>
              <w:u w:val="single"/>
            </w:rPr>
            <w:t>De GRECO</w:t>
          </w:r>
          <w:r>
            <w:rPr>
              <w:rFonts w:ascii="Verdana" w:hAnsi="Verdana"/>
              <w:sz w:val="20"/>
            </w:rPr>
            <w:t xml:space="preserve"> tekent op dat de Federale Deontologische Commissie de intentie heeft om verder te gaan met de opleiding van de parlementsleden rond inhoudelijke aangelegenheden inzake integriteit, en moedigt de overheid aan om geregeld zulke opleidingen voor de leden van de twee kamers van het parlement te organiseren. Aangezien de effectief verstrekte opleiding in dit stadium beperkt is tot één enkele algemene opleiding, kan de GRECO niet stellen dat de aanbeveling op bevredigende wijze ten uitvoer is gelegd. </w:t>
          </w:r>
        </w:p>
        <w:p w14:paraId="5458B048" w14:textId="77777777" w:rsidR="004111F9" w:rsidRPr="00F0435E" w:rsidRDefault="004111F9" w:rsidP="004111F9">
          <w:pPr>
            <w:pStyle w:val="Paragraphedeliste"/>
            <w:rPr>
              <w:rFonts w:ascii="Verdana" w:hAnsi="Verdana" w:cstheme="minorHAnsi"/>
              <w:sz w:val="20"/>
              <w:szCs w:val="20"/>
            </w:rPr>
          </w:pPr>
        </w:p>
        <w:p w14:paraId="696FA06E" w14:textId="6B7439DF" w:rsidR="006D6A13" w:rsidRPr="00F0435E" w:rsidRDefault="004111F9" w:rsidP="002C6643">
          <w:pPr>
            <w:numPr>
              <w:ilvl w:val="0"/>
              <w:numId w:val="29"/>
            </w:numPr>
            <w:jc w:val="both"/>
            <w:rPr>
              <w:rFonts w:ascii="Verdana" w:hAnsi="Verdana" w:cstheme="minorHAnsi"/>
              <w:sz w:val="20"/>
              <w:szCs w:val="20"/>
            </w:rPr>
          </w:pPr>
          <w:r>
            <w:rPr>
              <w:rFonts w:ascii="Verdana" w:hAnsi="Verdana"/>
              <w:sz w:val="20"/>
              <w:u w:val="single"/>
            </w:rPr>
            <w:t>De GRECO besluit dat aanbeveling viii gedeeltelijk ten uitvoer gelegd blijft.</w:t>
          </w:r>
        </w:p>
        <w:p w14:paraId="7A6A99D6" w14:textId="77777777" w:rsidR="006D6A13" w:rsidRPr="00F0435E" w:rsidRDefault="006D6A13" w:rsidP="002C6643">
          <w:pPr>
            <w:pStyle w:val="Paragraphedeliste"/>
            <w:ind w:left="567" w:hanging="567"/>
            <w:jc w:val="both"/>
            <w:rPr>
              <w:rFonts w:ascii="Verdana" w:hAnsi="Verdana" w:cstheme="minorHAnsi"/>
              <w:sz w:val="20"/>
              <w:szCs w:val="20"/>
            </w:rPr>
          </w:pPr>
        </w:p>
        <w:p w14:paraId="669CACF0" w14:textId="77777777" w:rsidR="00422140" w:rsidRPr="00F0435E" w:rsidRDefault="00422140" w:rsidP="002C6643">
          <w:pPr>
            <w:pStyle w:val="Normalrappo"/>
            <w:widowControl/>
            <w:tabs>
              <w:tab w:val="clear" w:pos="-720"/>
              <w:tab w:val="left" w:pos="567"/>
            </w:tabs>
            <w:suppressAutoHyphens w:val="0"/>
            <w:ind w:left="567" w:hanging="567"/>
            <w:contextualSpacing/>
            <w:rPr>
              <w:rFonts w:ascii="Verdana" w:hAnsi="Verdana" w:cstheme="minorHAnsi"/>
              <w:i/>
              <w:spacing w:val="0"/>
              <w:sz w:val="20"/>
            </w:rPr>
          </w:pPr>
          <w:r>
            <w:rPr>
              <w:rFonts w:ascii="Verdana" w:hAnsi="Verdana"/>
              <w:i/>
              <w:sz w:val="20"/>
            </w:rPr>
            <w:t>Preventie van corruptie ten aanzien van rechters en procureurs</w:t>
          </w:r>
        </w:p>
        <w:p w14:paraId="780DFAED" w14:textId="77777777" w:rsidR="00D21E39" w:rsidRPr="00F0435E" w:rsidRDefault="00D21E39" w:rsidP="00F22ED9">
          <w:pPr>
            <w:pStyle w:val="question"/>
            <w:numPr>
              <w:ilvl w:val="0"/>
              <w:numId w:val="0"/>
            </w:numPr>
            <w:contextualSpacing/>
            <w:rPr>
              <w:rFonts w:ascii="Verdana" w:hAnsi="Verdana" w:cstheme="minorHAnsi"/>
              <w:sz w:val="20"/>
            </w:rPr>
          </w:pPr>
        </w:p>
        <w:p w14:paraId="63AB2F1C" w14:textId="77777777" w:rsidR="0027471A" w:rsidRPr="00F0435E" w:rsidRDefault="00F07121" w:rsidP="002C6643">
          <w:pPr>
            <w:tabs>
              <w:tab w:val="left" w:pos="567"/>
            </w:tabs>
            <w:ind w:left="567"/>
            <w:contextualSpacing/>
            <w:jc w:val="both"/>
            <w:rPr>
              <w:rFonts w:ascii="Verdana" w:hAnsi="Verdana" w:cstheme="minorHAnsi"/>
              <w:b/>
              <w:bCs/>
              <w:sz w:val="20"/>
              <w:szCs w:val="20"/>
            </w:rPr>
          </w:pPr>
          <w:r>
            <w:rPr>
              <w:rFonts w:ascii="Verdana" w:hAnsi="Verdana"/>
              <w:b/>
              <w:sz w:val="20"/>
            </w:rPr>
            <w:t>Aanbeveling ix.</w:t>
          </w:r>
        </w:p>
        <w:p w14:paraId="393B2874" w14:textId="77777777" w:rsidR="0027471A" w:rsidRPr="00F0435E" w:rsidRDefault="0027471A" w:rsidP="002C6643">
          <w:pPr>
            <w:tabs>
              <w:tab w:val="left" w:pos="567"/>
            </w:tabs>
            <w:ind w:left="567" w:hanging="567"/>
            <w:contextualSpacing/>
            <w:jc w:val="both"/>
            <w:rPr>
              <w:rFonts w:ascii="Verdana" w:hAnsi="Verdana" w:cstheme="minorHAnsi"/>
              <w:sz w:val="20"/>
              <w:szCs w:val="20"/>
            </w:rPr>
          </w:pPr>
        </w:p>
        <w:p w14:paraId="02AD3353" w14:textId="77777777" w:rsidR="00D228F7" w:rsidRPr="00F0435E" w:rsidRDefault="00894E63" w:rsidP="00D228F7">
          <w:pPr>
            <w:numPr>
              <w:ilvl w:val="0"/>
              <w:numId w:val="29"/>
            </w:numPr>
            <w:jc w:val="both"/>
            <w:rPr>
              <w:rFonts w:ascii="Verdana" w:hAnsi="Verdana" w:cstheme="minorHAnsi"/>
              <w:i/>
              <w:iCs/>
              <w:sz w:val="20"/>
              <w:szCs w:val="20"/>
            </w:rPr>
          </w:pPr>
          <w:r>
            <w:rPr>
              <w:rFonts w:ascii="Verdana" w:hAnsi="Verdana"/>
              <w:i/>
              <w:sz w:val="20"/>
            </w:rPr>
            <w:t xml:space="preserve">De GRECO had aanbevolen om zo ruim mogelijk na te gaan dat de rechters van de administratieve rechtbanken op federaal en regionaal vlak worden onderworpen aan de passende waarborgen en regels inzake </w:t>
          </w:r>
          <w:bookmarkStart w:id="10" w:name="_Hlk57816314"/>
          <w:r>
            <w:rPr>
              <w:rFonts w:ascii="Verdana" w:hAnsi="Verdana"/>
              <w:i/>
              <w:sz w:val="20"/>
            </w:rPr>
            <w:t>onafhankelijk, onpartijdigheid, integriteit (deontologie, beheer van belangenconflicten, geschenken, enz.), supervisie en toepasbare straffe</w:t>
          </w:r>
          <w:bookmarkEnd w:id="10"/>
          <w:r>
            <w:rPr>
              <w:rFonts w:ascii="Verdana" w:hAnsi="Verdana"/>
              <w:i/>
              <w:sz w:val="20"/>
            </w:rPr>
            <w:t xml:space="preserve">n. </w:t>
          </w:r>
        </w:p>
        <w:p w14:paraId="370E725F" w14:textId="77777777" w:rsidR="00D228F7" w:rsidRPr="00F0435E" w:rsidRDefault="00D228F7" w:rsidP="00D228F7">
          <w:pPr>
            <w:ind w:left="567"/>
            <w:jc w:val="both"/>
            <w:rPr>
              <w:rFonts w:ascii="Verdana" w:hAnsi="Verdana" w:cstheme="minorHAnsi"/>
              <w:i/>
              <w:iCs/>
              <w:sz w:val="20"/>
              <w:szCs w:val="20"/>
            </w:rPr>
          </w:pPr>
          <w:r>
            <w:rPr>
              <w:rFonts w:ascii="Verdana" w:hAnsi="Verdana"/>
              <w:i/>
              <w:sz w:val="20"/>
            </w:rPr>
            <w:t xml:space="preserve"> </w:t>
          </w:r>
        </w:p>
        <w:p w14:paraId="47BAE220" w14:textId="5C76C646" w:rsidR="00B0065C" w:rsidRPr="00B0065C" w:rsidRDefault="00CD25AB" w:rsidP="00B0065C">
          <w:pPr>
            <w:pStyle w:val="Paragraphedeliste"/>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erkende met name dat de informatie betreffende de regels inzake onafhankelijkheid en integriteit voor drie beroepsorden in het kader van bestuursrechtelijke geschillen in de goede richting ging. Hij tekende op dat de organisatie van de Belgische instellingen niet toeliet een veralgemening te maken naar alle administratieve rechtscolleges toe en stelde dat er geen nieuwe informatie meegedeeld was met betrekking tot het federaal niveau (Raad van State).   </w:t>
          </w:r>
        </w:p>
        <w:p w14:paraId="0EEAD45A" w14:textId="77777777" w:rsidR="00D228F7" w:rsidRPr="00F0435E" w:rsidRDefault="00D228F7" w:rsidP="00D228F7">
          <w:pPr>
            <w:pStyle w:val="Paragraphedeliste"/>
            <w:rPr>
              <w:rFonts w:ascii="Verdana" w:hAnsi="Verdana" w:cstheme="minorHAnsi"/>
              <w:sz w:val="20"/>
              <w:szCs w:val="20"/>
              <w:u w:val="single"/>
            </w:rPr>
          </w:pPr>
        </w:p>
        <w:p w14:paraId="1E5B7F7C" w14:textId="778D72F9" w:rsidR="00EB4F71" w:rsidRPr="00EF47E8" w:rsidRDefault="00BF1E0E" w:rsidP="00CF55D3">
          <w:pPr>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nu aan dat, wat het federale niveau betreft, middels de wetten op de Raad van State, gecoördineerd op 12 maart 1973</w:t>
          </w:r>
          <w:r w:rsidR="00710089">
            <w:rPr>
              <w:rStyle w:val="Appelnotedebasdep"/>
              <w:rFonts w:ascii="Verdana" w:hAnsi="Verdana" w:cstheme="minorHAnsi"/>
              <w:sz w:val="20"/>
              <w:szCs w:val="20"/>
            </w:rPr>
            <w:footnoteReference w:id="5"/>
          </w:r>
          <w:r>
            <w:rPr>
              <w:rFonts w:ascii="Verdana" w:hAnsi="Verdana"/>
              <w:sz w:val="20"/>
            </w:rPr>
            <w:t xml:space="preserve">, alsook het koninklijk besluit van 23 september 1987 houdende het tuchtreglement van de leden van het auditoraat, het coördinatiebureau en de griffie van de Raad van State, tegemoet kan worden gekomen aan de aanbeveling betreffende de inachtneming van de waarborgen en regels inzake onafhankelijkheid, onpartijdigheid, integriteit, supervisie en toepasbare straffen. Deze normatieve teksten zijn aangevuld door de </w:t>
          </w:r>
          <w:r>
            <w:rPr>
              <w:rFonts w:ascii="Verdana" w:hAnsi="Verdana"/>
              <w:sz w:val="20"/>
            </w:rPr>
            <w:lastRenderedPageBreak/>
            <w:t>gecoördineerde wetten op de Raad van State, die de bepalingen van het Strafwetboek toepasbaar maken op rechtsweigeringen en die, met het besluit van de Regent van 23 augustus 1948 tot regeling van rechtspleging voor de afdeling bestuursrechtspraak van de Raad van State, de wraking regelen. Voorts wordt ook in het koninklijk besluit van 25 april 2014 tot vaststelling van de nadere regels en de criteria voor de evaluatie van de ambtsdragers van de Raad van State gerefereerd aan de “beroepsethiek” van de leden van de Raad van State, het Auditoraat en het Coördinatiebureau, net als voor de griffiers. De Belgische overheid benadrukt ten slotte dat het reglement van orde van de Raad van State, goedgekeurd bij koninklijk besluit van 7 juli 2020, handelt over het verbod voor magistraten om deel te nemen aan een bespreking in geval van een rechtstreeks persoonlijk belang, en magistraten die zetelen in de afdeling Bestuursrechtspraak verbiedt om particuliere gesprekken te voeren met de partijen of met hun wettelijke vertegenwoordigers betreffende lopende geschillen.</w:t>
          </w:r>
        </w:p>
        <w:p w14:paraId="37367052" w14:textId="77777777" w:rsidR="00EB4F71" w:rsidRPr="00EB4F71" w:rsidRDefault="00EB4F71" w:rsidP="00EB4F71">
          <w:pPr>
            <w:ind w:left="567"/>
            <w:jc w:val="both"/>
            <w:rPr>
              <w:rFonts w:ascii="Verdana" w:hAnsi="Verdana" w:cstheme="minorHAnsi"/>
              <w:sz w:val="20"/>
              <w:szCs w:val="20"/>
            </w:rPr>
          </w:pPr>
          <w:r>
            <w:rPr>
              <w:rFonts w:ascii="Verdana" w:hAnsi="Verdana"/>
              <w:sz w:val="20"/>
            </w:rPr>
            <w:t xml:space="preserve"> </w:t>
          </w:r>
        </w:p>
        <w:p w14:paraId="22FBB2F7" w14:textId="6043F16F" w:rsidR="00FD61F5" w:rsidRPr="00FD61F5" w:rsidRDefault="009E281B" w:rsidP="00FD61F5">
          <w:pPr>
            <w:pStyle w:val="Paragraphedeliste"/>
            <w:numPr>
              <w:ilvl w:val="0"/>
              <w:numId w:val="29"/>
            </w:numPr>
            <w:jc w:val="both"/>
            <w:rPr>
              <w:rFonts w:ascii="Verdana" w:hAnsi="Verdana" w:cstheme="minorHAnsi"/>
              <w:sz w:val="20"/>
              <w:szCs w:val="20"/>
            </w:rPr>
          </w:pPr>
          <w:bookmarkStart w:id="11" w:name="_Hlk57128015"/>
          <w:bookmarkStart w:id="12" w:name="_Hlk57385547"/>
          <w:r>
            <w:rPr>
              <w:rFonts w:ascii="Verdana" w:hAnsi="Verdana"/>
              <w:sz w:val="20"/>
              <w:u w:val="single"/>
            </w:rPr>
            <w:t>De GRECO</w:t>
          </w:r>
          <w:r>
            <w:rPr>
              <w:rFonts w:ascii="Verdana" w:hAnsi="Verdana"/>
              <w:sz w:val="20"/>
            </w:rPr>
            <w:t xml:space="preserve"> tekent op dat er normatieve teksten voorhanden zijn die voor de federale magistraten uit de bestuursrechtspraak effectief voorzien in pertinente waarborgen en regels met betrekking tot hun onafhankelijkheid, onpartijdigheid, integriteit en supervisie en de toepasbare straffen. Hij erkent overigens dat dergelijke waarborgen en regels geformuleerd werden voor meerdere beroepsorden die handelen in het kader van bestuursrechtelijke geschillen op gewestniveau. Hij tekent op dat de organisatie van de Belgische instellingen niet toelaat een veralgemening te maken naar alle administratieve rechtscolleges in het land toe, aangezien er verschillende honderden administratieve rechtscolleges bestaan, elk vallend onder specifieke regels, waardoor de Raad van State niet de mogelijkheid heeft om hervormingen op te leggen aan de gedecentraliseerde rechtscolleges. De GRECO stelt aldus dat er kennelijk vooruitgang is geboekt en dat de Belgische overheid zo ver mogelijk gegaan is om die aanbeveling ten uitvoer te leggen.  </w:t>
          </w:r>
        </w:p>
        <w:p w14:paraId="32641DBC" w14:textId="77777777" w:rsidR="00A1761C" w:rsidRPr="00F0435E" w:rsidRDefault="00A1761C" w:rsidP="00A1761C">
          <w:pPr>
            <w:ind w:left="567"/>
            <w:jc w:val="both"/>
            <w:rPr>
              <w:rFonts w:ascii="Verdana" w:hAnsi="Verdana" w:cstheme="minorHAnsi"/>
              <w:sz w:val="20"/>
              <w:szCs w:val="20"/>
            </w:rPr>
          </w:pPr>
        </w:p>
        <w:bookmarkEnd w:id="11"/>
        <w:bookmarkEnd w:id="12"/>
        <w:p w14:paraId="45D58685" w14:textId="2D0CEE05" w:rsidR="00865C86" w:rsidRPr="00F0435E" w:rsidRDefault="000E1385" w:rsidP="002C6643">
          <w:pPr>
            <w:numPr>
              <w:ilvl w:val="0"/>
              <w:numId w:val="29"/>
            </w:numPr>
            <w:jc w:val="both"/>
            <w:rPr>
              <w:rFonts w:ascii="Verdana" w:hAnsi="Verdana" w:cstheme="minorHAnsi"/>
              <w:sz w:val="20"/>
              <w:szCs w:val="20"/>
              <w:u w:val="single"/>
            </w:rPr>
          </w:pPr>
          <w:r>
            <w:rPr>
              <w:rFonts w:ascii="Verdana" w:hAnsi="Verdana"/>
              <w:sz w:val="20"/>
              <w:u w:val="single"/>
            </w:rPr>
            <w:t xml:space="preserve">De GRECO besluit dat aanbeveling ix op bevredigende wijze afgehandeld is. </w:t>
          </w:r>
        </w:p>
        <w:p w14:paraId="2B967243" w14:textId="77777777" w:rsidR="00D75126" w:rsidRPr="00F0435E" w:rsidRDefault="00D75126" w:rsidP="002C6643">
          <w:pPr>
            <w:ind w:left="567" w:hanging="567"/>
            <w:jc w:val="both"/>
            <w:rPr>
              <w:rFonts w:ascii="Verdana" w:hAnsi="Verdana" w:cstheme="minorHAnsi"/>
              <w:b/>
              <w:bCs/>
              <w:sz w:val="20"/>
              <w:szCs w:val="20"/>
            </w:rPr>
          </w:pPr>
        </w:p>
        <w:p w14:paraId="0AB11F71" w14:textId="77777777" w:rsidR="00BC3C2A" w:rsidRPr="00F0435E" w:rsidRDefault="00F07121" w:rsidP="002C6643">
          <w:pPr>
            <w:pStyle w:val="question"/>
            <w:numPr>
              <w:ilvl w:val="0"/>
              <w:numId w:val="0"/>
            </w:numPr>
            <w:ind w:left="567"/>
            <w:contextualSpacing/>
            <w:rPr>
              <w:rFonts w:ascii="Verdana" w:hAnsi="Verdana" w:cstheme="minorHAnsi"/>
              <w:b/>
              <w:sz w:val="20"/>
            </w:rPr>
          </w:pPr>
          <w:r>
            <w:rPr>
              <w:rFonts w:ascii="Verdana" w:hAnsi="Verdana"/>
              <w:b/>
              <w:sz w:val="20"/>
            </w:rPr>
            <w:t>Aanbeveling xii.</w:t>
          </w:r>
        </w:p>
        <w:p w14:paraId="480FE933" w14:textId="77777777" w:rsidR="006D6A13" w:rsidRPr="00F0435E" w:rsidRDefault="006D6A13" w:rsidP="002C6643">
          <w:pPr>
            <w:tabs>
              <w:tab w:val="left" w:pos="567"/>
            </w:tabs>
            <w:ind w:left="567" w:hanging="567"/>
            <w:contextualSpacing/>
            <w:jc w:val="both"/>
            <w:rPr>
              <w:rFonts w:ascii="Verdana" w:hAnsi="Verdana" w:cstheme="minorHAnsi"/>
              <w:bCs/>
              <w:i/>
              <w:sz w:val="20"/>
              <w:szCs w:val="20"/>
            </w:rPr>
          </w:pPr>
        </w:p>
        <w:p w14:paraId="25721761" w14:textId="77777777" w:rsidR="00AB03CC" w:rsidRPr="00F0435E" w:rsidRDefault="00F7781B" w:rsidP="002C6643">
          <w:pPr>
            <w:numPr>
              <w:ilvl w:val="0"/>
              <w:numId w:val="29"/>
            </w:numPr>
            <w:jc w:val="both"/>
            <w:rPr>
              <w:rFonts w:ascii="Verdana" w:hAnsi="Verdana" w:cstheme="minorHAnsi"/>
              <w:i/>
              <w:iCs/>
              <w:sz w:val="20"/>
              <w:szCs w:val="20"/>
            </w:rPr>
          </w:pPr>
          <w:r>
            <w:rPr>
              <w:rFonts w:ascii="Verdana" w:hAnsi="Verdana"/>
              <w:i/>
              <w:sz w:val="20"/>
            </w:rPr>
            <w:t>De GRECO had aanbevolen om de nadere regels voor de verdeling van de zaken over de rechters te gelegener tijd te evalueren.</w:t>
          </w:r>
        </w:p>
        <w:p w14:paraId="24F7B384" w14:textId="77777777" w:rsidR="00AB03CC" w:rsidRPr="00F0435E" w:rsidRDefault="00AB03CC" w:rsidP="002C6643">
          <w:pPr>
            <w:pStyle w:val="question"/>
            <w:numPr>
              <w:ilvl w:val="0"/>
              <w:numId w:val="0"/>
            </w:numPr>
            <w:ind w:left="567" w:hanging="567"/>
            <w:contextualSpacing/>
            <w:rPr>
              <w:rFonts w:ascii="Verdana" w:hAnsi="Verdana" w:cstheme="minorHAnsi"/>
              <w:sz w:val="20"/>
              <w:lang w:eastAsia="fr-FR"/>
            </w:rPr>
          </w:pPr>
        </w:p>
        <w:p w14:paraId="2C34AB24" w14:textId="11C49FCD" w:rsidR="000D37B1" w:rsidRPr="000D37B1" w:rsidRDefault="007F5E05" w:rsidP="00E72FE8">
          <w:pPr>
            <w:pStyle w:val="Paragraphedeliste"/>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die zich voorheen opgetogen toonde over het onderzoek van de Hoge Raad voor de Justitie (HRJ) naar de toepassing van de nieuwe regels inzake toewijzing van zaken aan kamers met één raadsheer, herbevestigde zijn oordeel dat de hoven van beroep hun regels en praktijken voor de toewijzing van zaken niet geharmoniseerd hadden. Ook tekende hij op dat de HRJ geen begin gemaakt had met stappen in die richting op het niveau van de rechtbanken van eerste aanleg.</w:t>
          </w:r>
        </w:p>
        <w:p w14:paraId="4D98EBDA" w14:textId="77777777" w:rsidR="000D37B1" w:rsidRPr="00F0435E" w:rsidRDefault="000D37B1" w:rsidP="00B21E39">
          <w:pPr>
            <w:pStyle w:val="Paragraphedeliste"/>
            <w:rPr>
              <w:rFonts w:ascii="Verdana" w:hAnsi="Verdana" w:cstheme="minorHAnsi"/>
              <w:sz w:val="20"/>
              <w:szCs w:val="20"/>
            </w:rPr>
          </w:pPr>
        </w:p>
        <w:p w14:paraId="64F76566" w14:textId="3A444FA2" w:rsidR="0057330F" w:rsidRPr="00A160F1" w:rsidRDefault="00BF1E0E" w:rsidP="00CE5631">
          <w:pPr>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thans aan dat de HRJ in december 2021 info vanwege 4 van de 5 hoven van beroep heeft ontvangen, wat hem in staat stelt om in te staan voor de opvolging van het onderzoek uit 2018 betreffende de toepassing van de nieuwe regels inzake toewijzing van zaken aan kamers met één raadsheer. Zij geeft aan dat de aanhoudende gezondheidscrisis volgens haar aan de basis ligt van het uitblijven van verdere stappen in de harmonisering van de regels en praktijken tussen de hoven van beroep op het stuk van toewijzing van zaken, en dientengevolge van de veralgemening ervan naar de rechtbanken van eerste aanleg toe. Nieuwe initiatieven ter zake van de HRJ zijn aangekondigd.</w:t>
          </w:r>
        </w:p>
        <w:p w14:paraId="01F9EA00" w14:textId="77777777" w:rsidR="0090105A" w:rsidRPr="00F0435E" w:rsidRDefault="0090105A" w:rsidP="0057330F">
          <w:pPr>
            <w:ind w:left="567"/>
            <w:jc w:val="both"/>
            <w:rPr>
              <w:rFonts w:ascii="Verdana" w:hAnsi="Verdana" w:cstheme="minorHAnsi"/>
              <w:sz w:val="20"/>
              <w:szCs w:val="20"/>
            </w:rPr>
          </w:pPr>
        </w:p>
        <w:p w14:paraId="3C48C9F8" w14:textId="641E3A9F" w:rsidR="00CD1A22" w:rsidRPr="00A160F1" w:rsidRDefault="009B477C" w:rsidP="00A2526E">
          <w:pPr>
            <w:numPr>
              <w:ilvl w:val="0"/>
              <w:numId w:val="29"/>
            </w:numPr>
            <w:jc w:val="both"/>
            <w:rPr>
              <w:rFonts w:ascii="Verdana" w:hAnsi="Verdana" w:cstheme="minorHAnsi"/>
              <w:sz w:val="20"/>
              <w:szCs w:val="20"/>
            </w:rPr>
          </w:pPr>
          <w:r>
            <w:rPr>
              <w:rFonts w:ascii="Verdana" w:hAnsi="Verdana"/>
              <w:sz w:val="20"/>
              <w:u w:val="single"/>
            </w:rPr>
            <w:t>De GRECO</w:t>
          </w:r>
          <w:r>
            <w:rPr>
              <w:rFonts w:ascii="Verdana" w:hAnsi="Verdana"/>
              <w:sz w:val="20"/>
            </w:rPr>
            <w:t xml:space="preserve"> neemt nota van het uitblijven van verdere stappen in de harmonisering van de regels en praktijken voor de toewijzing van zaken tussen de rechters op het </w:t>
          </w:r>
          <w:r>
            <w:rPr>
              <w:rFonts w:ascii="Verdana" w:hAnsi="Verdana"/>
              <w:sz w:val="20"/>
            </w:rPr>
            <w:lastRenderedPageBreak/>
            <w:t xml:space="preserve">niveau van de hoven van beroep en de rechtbanken van eerste aanleg, en </w:t>
          </w:r>
          <w:r>
            <w:rPr>
              <w:rFonts w:ascii="Verdana" w:hAnsi="Verdana"/>
              <w:sz w:val="20"/>
              <w:u w:val="single"/>
            </w:rPr>
            <w:t xml:space="preserve">kan enkel maar besluiten dat aanbeveling xii gedeeltelijk ten uitvoer gelegd blijft.  </w:t>
          </w:r>
        </w:p>
        <w:p w14:paraId="744AC464" w14:textId="26B2CB59" w:rsidR="001F7A85" w:rsidRPr="00F0435E" w:rsidRDefault="001F7A85" w:rsidP="00F22ED9">
          <w:pPr>
            <w:tabs>
              <w:tab w:val="left" w:pos="567"/>
            </w:tabs>
            <w:contextualSpacing/>
            <w:jc w:val="both"/>
            <w:rPr>
              <w:rFonts w:ascii="Verdana" w:hAnsi="Verdana" w:cstheme="minorHAnsi"/>
              <w:b/>
              <w:bCs/>
              <w:sz w:val="20"/>
              <w:szCs w:val="20"/>
            </w:rPr>
          </w:pPr>
        </w:p>
        <w:p w14:paraId="2513B4BC" w14:textId="77777777" w:rsidR="0079105F" w:rsidRPr="00F0435E" w:rsidRDefault="00064B78" w:rsidP="002C6643">
          <w:pPr>
            <w:tabs>
              <w:tab w:val="left" w:pos="567"/>
            </w:tabs>
            <w:contextualSpacing/>
            <w:jc w:val="both"/>
            <w:rPr>
              <w:rFonts w:ascii="Verdana" w:hAnsi="Verdana" w:cstheme="minorHAnsi"/>
              <w:b/>
              <w:bCs/>
              <w:sz w:val="20"/>
              <w:szCs w:val="20"/>
            </w:rPr>
          </w:pPr>
          <w:r>
            <w:rPr>
              <w:rFonts w:ascii="Verdana" w:hAnsi="Verdana"/>
              <w:b/>
              <w:sz w:val="20"/>
            </w:rPr>
            <w:tab/>
            <w:t>Aanbeveling xiv.</w:t>
          </w:r>
        </w:p>
        <w:p w14:paraId="000952FD" w14:textId="77777777" w:rsidR="0079105F" w:rsidRPr="00F0435E" w:rsidRDefault="0079105F" w:rsidP="002C6643">
          <w:pPr>
            <w:pStyle w:val="Normalrappo"/>
            <w:widowControl/>
            <w:tabs>
              <w:tab w:val="clear" w:pos="-720"/>
              <w:tab w:val="left" w:pos="567"/>
            </w:tabs>
            <w:suppressAutoHyphens w:val="0"/>
            <w:contextualSpacing/>
            <w:rPr>
              <w:rFonts w:ascii="Verdana" w:hAnsi="Verdana" w:cstheme="minorHAnsi"/>
              <w:i/>
              <w:spacing w:val="0"/>
              <w:sz w:val="20"/>
              <w:lang w:eastAsia="fr-FR"/>
            </w:rPr>
          </w:pPr>
        </w:p>
        <w:p w14:paraId="00C15A5A" w14:textId="77777777" w:rsidR="0079105F" w:rsidRPr="00F0435E" w:rsidRDefault="00F7781B" w:rsidP="002C6643">
          <w:pPr>
            <w:numPr>
              <w:ilvl w:val="0"/>
              <w:numId w:val="29"/>
            </w:numPr>
            <w:jc w:val="both"/>
            <w:rPr>
              <w:rFonts w:ascii="Verdana" w:hAnsi="Verdana" w:cstheme="minorHAnsi"/>
              <w:i/>
              <w:iCs/>
              <w:sz w:val="20"/>
              <w:szCs w:val="20"/>
            </w:rPr>
          </w:pPr>
          <w:r>
            <w:rPr>
              <w:rFonts w:ascii="Verdana" w:hAnsi="Verdana"/>
              <w:i/>
              <w:sz w:val="20"/>
            </w:rPr>
            <w:t>De GRECO had aanbevolen dat de Hoge Raad voor de Justitie een algemeen periodiek verslag uitbrengt over de werking van de rechtbanken en de diensten van het openbaar ministerie en tegelijkertijd zijn audit- en onderzoeksactiviteiten ontwikkelt.</w:t>
          </w:r>
        </w:p>
        <w:p w14:paraId="14B3E925" w14:textId="77777777" w:rsidR="00D65292" w:rsidRPr="00F0435E" w:rsidRDefault="002A7F10" w:rsidP="002C6643">
          <w:pPr>
            <w:tabs>
              <w:tab w:val="left" w:pos="567"/>
            </w:tabs>
            <w:ind w:left="567" w:hanging="567"/>
            <w:contextualSpacing/>
            <w:jc w:val="both"/>
            <w:rPr>
              <w:rFonts w:ascii="Verdana" w:hAnsi="Verdana" w:cstheme="minorHAnsi"/>
              <w:sz w:val="20"/>
              <w:szCs w:val="20"/>
            </w:rPr>
          </w:pPr>
          <w:r>
            <w:rPr>
              <w:rFonts w:ascii="Verdana" w:hAnsi="Verdana"/>
              <w:b/>
              <w:sz w:val="20"/>
            </w:rPr>
            <w:t xml:space="preserve"> </w:t>
          </w:r>
        </w:p>
        <w:p w14:paraId="6CB8FB78" w14:textId="124BB427" w:rsidR="00C41F90" w:rsidRPr="00C41F90" w:rsidRDefault="00745B44" w:rsidP="00C41F90">
          <w:pPr>
            <w:numPr>
              <w:ilvl w:val="0"/>
              <w:numId w:val="29"/>
            </w:numPr>
            <w:jc w:val="both"/>
            <w:rPr>
              <w:rFonts w:ascii="Verdana" w:hAnsi="Verdana" w:cstheme="minorHAnsi"/>
              <w:sz w:val="20"/>
              <w:szCs w:val="20"/>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hoopte dat het voorstel tot aanpassing van het formulier voor de werkingsverslagen van het openbaar ministerie en van de hoven en rechtbanken, alsook het desbetreffende handboek, op reglementaire wijze zouden geformaliseerd zijn.  </w:t>
          </w:r>
        </w:p>
        <w:p w14:paraId="117FEFEF" w14:textId="77777777" w:rsidR="00994105" w:rsidRPr="00F0435E" w:rsidRDefault="00994105" w:rsidP="002C6643">
          <w:pPr>
            <w:pStyle w:val="question"/>
            <w:numPr>
              <w:ilvl w:val="0"/>
              <w:numId w:val="0"/>
            </w:numPr>
            <w:ind w:left="567" w:hanging="567"/>
            <w:contextualSpacing/>
            <w:rPr>
              <w:rFonts w:ascii="Verdana" w:hAnsi="Verdana" w:cstheme="minorHAnsi"/>
              <w:sz w:val="20"/>
              <w:lang w:eastAsia="fr-FR"/>
            </w:rPr>
          </w:pPr>
        </w:p>
        <w:p w14:paraId="74246DDA" w14:textId="199C53C9" w:rsidR="00745B44" w:rsidRPr="0046147E" w:rsidRDefault="00BF1E0E" w:rsidP="00DB3750">
          <w:pPr>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thans aan dat het standaardformulier voor de opmaak van de werkingsverslagen van het openbaar ministerie en van de hoven en rechtbanken omschreven is in het ministerieel besluit van 26 januari 2022. Voorts geeft zij dan dat de audit- en onderzoekscapaciteiten van de HRJ zijn versterkt via de uitbreiding van het aantal betrekkingen dat is voorbehouden aan de houders van een universitair diploma</w:t>
          </w:r>
          <w:r w:rsidR="0046147E">
            <w:rPr>
              <w:rStyle w:val="Appelnotedebasdep"/>
              <w:rFonts w:ascii="Verdana" w:hAnsi="Verdana" w:cstheme="minorHAnsi"/>
              <w:sz w:val="20"/>
              <w:szCs w:val="20"/>
            </w:rPr>
            <w:footnoteReference w:id="6"/>
          </w:r>
          <w:r>
            <w:rPr>
              <w:rFonts w:ascii="Verdana" w:hAnsi="Verdana"/>
              <w:sz w:val="20"/>
            </w:rPr>
            <w:t>, waardoor de HRJ in 2021 effectief vier bijkomende auditeurs heeft kunnen aanwerven voor de cel die is belast met de audit- en onderzoeksactiviteiten.</w:t>
          </w:r>
        </w:p>
        <w:p w14:paraId="34972FB8" w14:textId="77777777" w:rsidR="00745B44" w:rsidRPr="00F0435E" w:rsidRDefault="00745B44" w:rsidP="00745B44">
          <w:pPr>
            <w:pStyle w:val="Paragraphedeliste"/>
            <w:rPr>
              <w:rFonts w:ascii="Verdana" w:hAnsi="Verdana" w:cstheme="minorHAnsi"/>
              <w:sz w:val="20"/>
              <w:szCs w:val="20"/>
            </w:rPr>
          </w:pPr>
        </w:p>
        <w:p w14:paraId="270E727F" w14:textId="38BBEB2F" w:rsidR="0075022E" w:rsidRPr="00F0435E" w:rsidRDefault="0075022E" w:rsidP="002C6643">
          <w:pPr>
            <w:numPr>
              <w:ilvl w:val="0"/>
              <w:numId w:val="29"/>
            </w:numPr>
            <w:jc w:val="both"/>
            <w:rPr>
              <w:rFonts w:ascii="Verdana" w:hAnsi="Verdana" w:cstheme="minorHAnsi"/>
              <w:sz w:val="20"/>
              <w:szCs w:val="20"/>
            </w:rPr>
          </w:pPr>
          <w:bookmarkStart w:id="13" w:name="_Hlk57822070"/>
          <w:r>
            <w:rPr>
              <w:rFonts w:ascii="Verdana" w:hAnsi="Verdana"/>
              <w:sz w:val="20"/>
              <w:u w:val="single"/>
            </w:rPr>
            <w:t>De GRECO</w:t>
          </w:r>
          <w:r>
            <w:rPr>
              <w:rFonts w:ascii="Verdana" w:hAnsi="Verdana"/>
              <w:sz w:val="20"/>
            </w:rPr>
            <w:t xml:space="preserve"> tekent op dat het normatieve kader voor de organisatie van de werkingsverslagen van het openbaar ministerie thans is ingesteld. Hij tekent ook op dat de instantie belast met audits en onderzoeken binnen de HRJ effectief versterkt is met bijkomende auditeurs, waardoor zij die activiteiten kan ontplooien. Die significante vorderingen gaan in de richting van de aanbeveling.   </w:t>
          </w:r>
        </w:p>
        <w:p w14:paraId="704B4501" w14:textId="77777777" w:rsidR="005D7B5F" w:rsidRPr="00F0435E" w:rsidRDefault="005D7B5F" w:rsidP="002C6643">
          <w:pPr>
            <w:pStyle w:val="question"/>
            <w:numPr>
              <w:ilvl w:val="0"/>
              <w:numId w:val="0"/>
            </w:numPr>
            <w:ind w:left="567" w:hanging="567"/>
            <w:contextualSpacing/>
            <w:rPr>
              <w:rFonts w:ascii="Verdana" w:hAnsi="Verdana" w:cstheme="minorHAnsi"/>
              <w:sz w:val="20"/>
              <w:lang w:eastAsia="fr-FR"/>
            </w:rPr>
          </w:pPr>
        </w:p>
        <w:bookmarkEnd w:id="13"/>
        <w:p w14:paraId="12A33386" w14:textId="4D353F38" w:rsidR="009F6AD4" w:rsidRPr="00F0435E" w:rsidRDefault="000D5DCF" w:rsidP="002C6643">
          <w:pPr>
            <w:numPr>
              <w:ilvl w:val="0"/>
              <w:numId w:val="29"/>
            </w:numPr>
            <w:jc w:val="both"/>
            <w:rPr>
              <w:rFonts w:ascii="Verdana" w:hAnsi="Verdana"/>
              <w:sz w:val="20"/>
              <w:szCs w:val="20"/>
            </w:rPr>
          </w:pPr>
          <w:r>
            <w:rPr>
              <w:rFonts w:ascii="Verdana" w:hAnsi="Verdana"/>
              <w:sz w:val="20"/>
              <w:u w:val="single"/>
            </w:rPr>
            <w:t xml:space="preserve">De GRECO besluit dat aanbeveling xiv op bevredigende wijze ten uitvoer is gelegd. </w:t>
          </w:r>
        </w:p>
        <w:p w14:paraId="19FC4E69" w14:textId="77777777" w:rsidR="00A16777" w:rsidRPr="00F0435E" w:rsidRDefault="00A16777" w:rsidP="002C6643">
          <w:pPr>
            <w:pStyle w:val="Paragraphedeliste"/>
            <w:jc w:val="both"/>
            <w:rPr>
              <w:rFonts w:ascii="Verdana" w:hAnsi="Verdana"/>
              <w:sz w:val="20"/>
              <w:szCs w:val="20"/>
            </w:rPr>
          </w:pPr>
        </w:p>
        <w:p w14:paraId="7F58C47E" w14:textId="77777777" w:rsidR="00A16777" w:rsidRPr="00F0435E" w:rsidRDefault="00A16777" w:rsidP="002C6643">
          <w:pPr>
            <w:tabs>
              <w:tab w:val="left" w:pos="567"/>
            </w:tabs>
            <w:contextualSpacing/>
            <w:jc w:val="both"/>
            <w:rPr>
              <w:rFonts w:ascii="Verdana" w:hAnsi="Verdana" w:cstheme="minorHAnsi"/>
              <w:b/>
              <w:bCs/>
              <w:sz w:val="20"/>
              <w:szCs w:val="20"/>
            </w:rPr>
          </w:pPr>
          <w:r>
            <w:rPr>
              <w:rFonts w:ascii="Verdana" w:hAnsi="Verdana"/>
              <w:b/>
              <w:sz w:val="20"/>
            </w:rPr>
            <w:tab/>
            <w:t>Aanbeveling xv.</w:t>
          </w:r>
        </w:p>
        <w:p w14:paraId="0B771861" w14:textId="77777777" w:rsidR="00A16777" w:rsidRPr="00F0435E" w:rsidRDefault="00A16777" w:rsidP="002C6643">
          <w:pPr>
            <w:pStyle w:val="Normalrappo"/>
            <w:widowControl/>
            <w:tabs>
              <w:tab w:val="clear" w:pos="-720"/>
              <w:tab w:val="left" w:pos="567"/>
            </w:tabs>
            <w:suppressAutoHyphens w:val="0"/>
            <w:contextualSpacing/>
            <w:rPr>
              <w:rFonts w:ascii="Verdana" w:hAnsi="Verdana" w:cstheme="minorHAnsi"/>
              <w:i/>
              <w:spacing w:val="0"/>
              <w:sz w:val="20"/>
              <w:lang w:eastAsia="fr-FR"/>
            </w:rPr>
          </w:pPr>
        </w:p>
        <w:p w14:paraId="72EEE56D" w14:textId="77777777" w:rsidR="00A16777" w:rsidRPr="00F0435E" w:rsidRDefault="00A16777" w:rsidP="002C6643">
          <w:pPr>
            <w:numPr>
              <w:ilvl w:val="0"/>
              <w:numId w:val="29"/>
            </w:numPr>
            <w:jc w:val="both"/>
            <w:rPr>
              <w:rFonts w:ascii="Verdana" w:hAnsi="Verdana" w:cstheme="minorHAnsi"/>
              <w:i/>
              <w:iCs/>
              <w:sz w:val="20"/>
              <w:szCs w:val="20"/>
            </w:rPr>
          </w:pPr>
          <w:r>
            <w:rPr>
              <w:rFonts w:ascii="Verdana" w:hAnsi="Verdana"/>
              <w:i/>
              <w:sz w:val="20"/>
            </w:rPr>
            <w:t>De GRECO had aanbevolen dat maatregelen worden getroffen opdat betrouwbare en voldoende gedetailleerde informatie en gegevens worden bijgehouden over de tuchtprocedures inzake de rechters en procureurs, daaronder begrepen een eventuele bekendmaking van die rechtspraak, met inachtneming van de anonimiteit van de betrokkenen.</w:t>
          </w:r>
        </w:p>
        <w:p w14:paraId="51E47C89" w14:textId="558649DC" w:rsidR="00A16777" w:rsidRPr="00F0435E" w:rsidRDefault="00A16777" w:rsidP="002C6643">
          <w:pPr>
            <w:tabs>
              <w:tab w:val="left" w:pos="567"/>
            </w:tabs>
            <w:ind w:left="567" w:hanging="567"/>
            <w:contextualSpacing/>
            <w:jc w:val="both"/>
            <w:rPr>
              <w:rFonts w:ascii="Verdana" w:hAnsi="Verdana" w:cstheme="minorHAnsi"/>
              <w:sz w:val="20"/>
              <w:szCs w:val="20"/>
            </w:rPr>
          </w:pPr>
        </w:p>
        <w:p w14:paraId="6A11D18D" w14:textId="1F86BC30" w:rsidR="00AA1B59" w:rsidRPr="00AF456C" w:rsidRDefault="009719BC" w:rsidP="009753C9">
          <w:pPr>
            <w:pStyle w:val="Paragraphedeliste"/>
            <w:numPr>
              <w:ilvl w:val="0"/>
              <w:numId w:val="29"/>
            </w:numPr>
            <w:jc w:val="both"/>
            <w:rPr>
              <w:rFonts w:ascii="Verdana" w:hAnsi="Verdana" w:cstheme="minorHAnsi"/>
              <w:sz w:val="20"/>
              <w:szCs w:val="20"/>
              <w:u w:val="single"/>
            </w:rPr>
          </w:pPr>
          <w:r>
            <w:rPr>
              <w:rFonts w:ascii="Verdana" w:hAnsi="Verdana"/>
              <w:sz w:val="20"/>
              <w:u w:val="single"/>
            </w:rPr>
            <w:t>Er wordt op gewezen</w:t>
          </w:r>
          <w:r>
            <w:rPr>
              <w:rFonts w:ascii="Verdana" w:hAnsi="Verdana"/>
              <w:sz w:val="20"/>
            </w:rPr>
            <w:t xml:space="preserve"> dat deze aanbeveling reeds gedeeltelijk ten uitvoer gelegd was in het tweede conformiteitsverslag. De GRECO had opgetekend dat de inwerkingtreding van de wet van 23 maart 2019 en van de regelgevende bepalingen ter verdere consolidering van tuchtrechtelijke informatie met betrekking tot rechters en procureurs in de richting van zijn aanbeveling ging, maar wachtte nog op de gelegenheid tot kennisneming van het eerste verslag ter zake van de HRJ.</w:t>
          </w:r>
        </w:p>
        <w:p w14:paraId="3D4D09E9" w14:textId="77777777" w:rsidR="00AF456C" w:rsidRPr="00AF456C" w:rsidRDefault="00AF456C" w:rsidP="00AF456C">
          <w:pPr>
            <w:pStyle w:val="Paragraphedeliste"/>
            <w:rPr>
              <w:rFonts w:ascii="Verdana" w:hAnsi="Verdana" w:cstheme="minorHAnsi"/>
              <w:sz w:val="20"/>
              <w:szCs w:val="20"/>
              <w:u w:val="single"/>
            </w:rPr>
          </w:pPr>
        </w:p>
        <w:p w14:paraId="73F7480D" w14:textId="4EF40A02" w:rsidR="000C33C5" w:rsidRDefault="00A16777" w:rsidP="006D28FD">
          <w:pPr>
            <w:pStyle w:val="Paragraphedeliste"/>
            <w:numPr>
              <w:ilvl w:val="0"/>
              <w:numId w:val="29"/>
            </w:numPr>
            <w:jc w:val="both"/>
            <w:rPr>
              <w:rFonts w:ascii="Verdana" w:hAnsi="Verdana" w:cstheme="minorHAnsi"/>
              <w:sz w:val="20"/>
              <w:szCs w:val="20"/>
            </w:rPr>
          </w:pPr>
          <w:r>
            <w:rPr>
              <w:rFonts w:ascii="Verdana" w:hAnsi="Verdana"/>
              <w:sz w:val="20"/>
              <w:u w:val="single"/>
            </w:rPr>
            <w:t>De Belgische overheid</w:t>
          </w:r>
          <w:r>
            <w:rPr>
              <w:rFonts w:ascii="Verdana" w:hAnsi="Verdana"/>
              <w:sz w:val="20"/>
            </w:rPr>
            <w:t xml:space="preserve"> geeft opnieuw aan dat </w:t>
          </w:r>
          <w:bookmarkStart w:id="14" w:name="_Hlk57822769"/>
          <w:r>
            <w:rPr>
              <w:rFonts w:ascii="Verdana" w:hAnsi="Verdana"/>
              <w:sz w:val="20"/>
            </w:rPr>
            <w:t xml:space="preserve">het eerste verslag van de HRJ inzake tucht van rechters en procureurs moet gebaseerd zijn op de jaarverslagen van de tuchtcolleges, die hem nog niet bereikt hebben. Zij benadrukt de aanzienlijke moeilijkheden die de tuchtrechtscolleges hebben ondervonden op het stuk van samenstelling en werking, die de voorbereiding van zulke verslagen bemoeilijken. Om die moeilijkheden het hoofd te bieden en die tuchtrechtscolleges te bestendigen, ligt een voorontwerp van wet op tafel ter bespreking binnen de federale regering, waarbij het de bedoeling is de mandaten binnen de tuchtrechtscolleges te verlengen, </w:t>
          </w:r>
          <w:r>
            <w:rPr>
              <w:rFonts w:ascii="Verdana" w:hAnsi="Verdana"/>
              <w:sz w:val="20"/>
            </w:rPr>
            <w:lastRenderedPageBreak/>
            <w:t>de termijn ervan van 5 op 7 jaar te brengen, een vervangingsmechanisme voor de vertegenwoordiger van de Orde van advocaten in te voeren, net als een mechanisme voor de vergoeding van de rechters, raadsheren en assessoren die daarin zitting hebben. Die wet zou kunnen worden aangenomen voor de zomer van 2022.</w:t>
          </w:r>
        </w:p>
        <w:p w14:paraId="08EC5FA7" w14:textId="77777777" w:rsidR="00B139F2" w:rsidRPr="00B139F2" w:rsidRDefault="00B139F2" w:rsidP="00B139F2">
          <w:pPr>
            <w:pStyle w:val="Paragraphedeliste"/>
            <w:rPr>
              <w:rFonts w:ascii="Verdana" w:hAnsi="Verdana" w:cstheme="minorHAnsi"/>
              <w:sz w:val="20"/>
              <w:szCs w:val="20"/>
            </w:rPr>
          </w:pPr>
        </w:p>
        <w:p w14:paraId="1D8E7538" w14:textId="3326362D" w:rsidR="00A16777" w:rsidRPr="00F0435E" w:rsidRDefault="00A16777" w:rsidP="002C6643">
          <w:pPr>
            <w:numPr>
              <w:ilvl w:val="0"/>
              <w:numId w:val="29"/>
            </w:numPr>
            <w:jc w:val="both"/>
            <w:rPr>
              <w:rFonts w:ascii="Verdana" w:hAnsi="Verdana" w:cstheme="minorHAnsi"/>
              <w:sz w:val="20"/>
              <w:szCs w:val="20"/>
            </w:rPr>
          </w:pPr>
          <w:r>
            <w:rPr>
              <w:rFonts w:ascii="Verdana" w:hAnsi="Verdana"/>
              <w:sz w:val="20"/>
              <w:u w:val="single"/>
            </w:rPr>
            <w:t>De GRECO</w:t>
          </w:r>
          <w:r>
            <w:rPr>
              <w:rFonts w:ascii="Verdana" w:hAnsi="Verdana"/>
              <w:sz w:val="20"/>
            </w:rPr>
            <w:t xml:space="preserve"> tekent op dat lopend wetgevingswerk met het oog op de bestendiging van de tuchtinstanties in de toekomst zou kunnen zorgen voor een optimalisering van de informatie en van de publicatie van betrouwbare en gedetailleerde gegevens inzake tuchtprocedures van rechters en procureurs. Hij spoort de overheid aan om dat werk in die geest voort te zetten.   </w:t>
          </w:r>
        </w:p>
        <w:bookmarkEnd w:id="14"/>
        <w:p w14:paraId="7D33A2B5" w14:textId="77777777" w:rsidR="00A16777" w:rsidRPr="00F0435E" w:rsidRDefault="00A16777" w:rsidP="002C6643">
          <w:pPr>
            <w:pStyle w:val="Paragraphedeliste"/>
            <w:autoSpaceDE w:val="0"/>
            <w:autoSpaceDN w:val="0"/>
            <w:adjustRightInd w:val="0"/>
            <w:ind w:left="567" w:hanging="567"/>
            <w:jc w:val="both"/>
            <w:rPr>
              <w:rFonts w:ascii="Verdana" w:eastAsiaTheme="minorHAnsi" w:hAnsi="Verdana" w:cs="Verdana"/>
              <w:sz w:val="20"/>
              <w:szCs w:val="20"/>
              <w:lang w:eastAsia="en-US"/>
            </w:rPr>
          </w:pPr>
        </w:p>
        <w:p w14:paraId="40F5F0E4" w14:textId="6135B95B" w:rsidR="00A16777" w:rsidRPr="00F0435E" w:rsidRDefault="00A16777" w:rsidP="002C6643">
          <w:pPr>
            <w:numPr>
              <w:ilvl w:val="0"/>
              <w:numId w:val="29"/>
            </w:numPr>
            <w:jc w:val="both"/>
            <w:rPr>
              <w:rFonts w:ascii="Verdana" w:hAnsi="Verdana"/>
              <w:sz w:val="20"/>
              <w:szCs w:val="20"/>
            </w:rPr>
          </w:pPr>
          <w:r>
            <w:rPr>
              <w:rFonts w:ascii="Verdana" w:hAnsi="Verdana"/>
              <w:sz w:val="20"/>
              <w:u w:val="single"/>
            </w:rPr>
            <w:t>De GRECO besluit dat aanbeveling xv gedeeltelijk ten uitvoer gelegd blijft.</w:t>
          </w:r>
        </w:p>
        <w:p w14:paraId="36272D7A" w14:textId="77777777" w:rsidR="00C82D91" w:rsidRPr="00F0435E" w:rsidRDefault="00C82D91" w:rsidP="002C6643">
          <w:pPr>
            <w:tabs>
              <w:tab w:val="left" w:pos="567"/>
            </w:tabs>
            <w:contextualSpacing/>
            <w:jc w:val="both"/>
            <w:rPr>
              <w:rFonts w:ascii="Verdana" w:hAnsi="Verdana"/>
              <w:b/>
              <w:sz w:val="20"/>
              <w:szCs w:val="20"/>
            </w:rPr>
          </w:pPr>
        </w:p>
        <w:p w14:paraId="18086236" w14:textId="4CA68B78" w:rsidR="003D1BA2" w:rsidRPr="00F0435E" w:rsidRDefault="003D1BA2" w:rsidP="002C6643">
          <w:pPr>
            <w:spacing w:after="200" w:line="276" w:lineRule="auto"/>
            <w:jc w:val="both"/>
            <w:rPr>
              <w:rFonts w:ascii="Verdana" w:hAnsi="Verdana"/>
              <w:b/>
              <w:sz w:val="20"/>
              <w:szCs w:val="20"/>
            </w:rPr>
          </w:pPr>
          <w:r>
            <w:br w:type="page"/>
          </w:r>
        </w:p>
      </w:sdtContent>
    </w:sdt>
    <w:p w14:paraId="14AC70A3" w14:textId="77777777" w:rsidR="007C6961" w:rsidRPr="00F0435E" w:rsidRDefault="007C6961" w:rsidP="002C6643">
      <w:pPr>
        <w:tabs>
          <w:tab w:val="left" w:pos="570"/>
        </w:tabs>
        <w:jc w:val="both"/>
        <w:rPr>
          <w:rFonts w:ascii="Verdana" w:hAnsi="Verdana"/>
          <w:b/>
          <w:sz w:val="20"/>
          <w:szCs w:val="20"/>
        </w:rPr>
      </w:pPr>
      <w:r>
        <w:rPr>
          <w:rFonts w:ascii="Verdana" w:hAnsi="Verdana"/>
          <w:b/>
          <w:sz w:val="20"/>
        </w:rPr>
        <w:lastRenderedPageBreak/>
        <w:t>III.</w:t>
      </w:r>
      <w:r>
        <w:rPr>
          <w:rFonts w:ascii="Verdana" w:hAnsi="Verdana"/>
          <w:b/>
          <w:sz w:val="20"/>
        </w:rPr>
        <w:tab/>
      </w:r>
      <w:r>
        <w:rPr>
          <w:rFonts w:ascii="Verdana" w:hAnsi="Verdana"/>
          <w:b/>
          <w:sz w:val="20"/>
          <w:u w:val="single"/>
        </w:rPr>
        <w:t>CONCLUSIES</w:t>
      </w:r>
    </w:p>
    <w:p w14:paraId="3669C77A" w14:textId="77777777" w:rsidR="007C6961" w:rsidRPr="00F0435E" w:rsidRDefault="007C6961" w:rsidP="002C6643">
      <w:pPr>
        <w:jc w:val="both"/>
        <w:rPr>
          <w:rFonts w:ascii="Verdana" w:hAnsi="Verdana"/>
          <w:sz w:val="20"/>
          <w:szCs w:val="20"/>
        </w:rPr>
      </w:pPr>
    </w:p>
    <w:sdt>
      <w:sdtPr>
        <w:rPr>
          <w:rFonts w:ascii="Verdana" w:hAnsi="Verdana"/>
          <w:b/>
          <w:sz w:val="20"/>
          <w:szCs w:val="20"/>
        </w:rPr>
        <w:tag w:val="{51E2A9FF-BD06-46A0-BC5B-14F989985BFE}"/>
        <w:id w:val="-1805465881"/>
        <w:lock w:val="sdtLocked"/>
        <w:placeholder>
          <w:docPart w:val="DefaultPlaceholder_-1854013440"/>
        </w:placeholder>
      </w:sdtPr>
      <w:sdtEndPr>
        <w:rPr>
          <w:b w:val="0"/>
        </w:rPr>
      </w:sdtEndPr>
      <w:sdtContent>
        <w:p w14:paraId="131657E2" w14:textId="6CF2FFE2" w:rsidR="00F62ED9" w:rsidRPr="00F0435E" w:rsidRDefault="00E0213F" w:rsidP="002C6643">
          <w:pPr>
            <w:numPr>
              <w:ilvl w:val="0"/>
              <w:numId w:val="29"/>
            </w:numPr>
            <w:jc w:val="both"/>
            <w:rPr>
              <w:rFonts w:ascii="Verdana" w:hAnsi="Verdana"/>
              <w:sz w:val="20"/>
              <w:szCs w:val="20"/>
            </w:rPr>
          </w:pPr>
          <w:r>
            <w:rPr>
              <w:rFonts w:ascii="Verdana" w:hAnsi="Verdana"/>
              <w:b/>
              <w:sz w:val="20"/>
            </w:rPr>
            <w:t xml:space="preserve">Gelet op het voorgaande, besluit de GRECO dat België zekere vorderingen heeft geboekt bij de tenuitvoerlegging van de aanbevelingen uit dit verslag, al blijft het resultaat nog voor verbetering vatbaar. In totaal zijn zes van de vijftien aanbevelingen uit het evaluatieverslag van de vierde cyclus op bevredigende wijze ten uitvoer gelegd of op bevredigende wijze afgehandeld. </w:t>
          </w:r>
          <w:r>
            <w:rPr>
              <w:rFonts w:ascii="Verdana" w:hAnsi="Verdana"/>
              <w:sz w:val="20"/>
            </w:rPr>
            <w:t>De negen resterende aanbevelingen zijn gedeeltelijk ten uitvoer gelegd.</w:t>
          </w:r>
        </w:p>
        <w:p w14:paraId="5B36344B" w14:textId="77777777" w:rsidR="00F62ED9" w:rsidRPr="00F0435E" w:rsidRDefault="00F62ED9" w:rsidP="002C6643">
          <w:pPr>
            <w:ind w:left="567"/>
            <w:jc w:val="both"/>
            <w:rPr>
              <w:rFonts w:ascii="Verdana" w:hAnsi="Verdana"/>
              <w:sz w:val="20"/>
              <w:szCs w:val="20"/>
            </w:rPr>
          </w:pPr>
        </w:p>
        <w:p w14:paraId="49810E1E" w14:textId="71EDEB97" w:rsidR="00822686" w:rsidRPr="00F0435E" w:rsidRDefault="004153C2" w:rsidP="002C6643">
          <w:pPr>
            <w:numPr>
              <w:ilvl w:val="0"/>
              <w:numId w:val="29"/>
            </w:numPr>
            <w:jc w:val="both"/>
            <w:rPr>
              <w:rFonts w:ascii="Verdana" w:hAnsi="Verdana"/>
              <w:sz w:val="20"/>
              <w:szCs w:val="20"/>
            </w:rPr>
          </w:pPr>
          <w:r>
            <w:rPr>
              <w:rFonts w:ascii="Verdana" w:hAnsi="Verdana"/>
              <w:sz w:val="20"/>
            </w:rPr>
            <w:t>Meer bepaald zijn aanbevelingen vii, ix, x, xi, xiii en xiv op bevredigende wijze ten uitvoer gelegd of afgehandel</w:t>
          </w:r>
          <w:r w:rsidR="006C6E74">
            <w:rPr>
              <w:rFonts w:ascii="Verdana" w:hAnsi="Verdana"/>
              <w:sz w:val="20"/>
            </w:rPr>
            <w:t xml:space="preserve">d, en zijn aanbevelingen i, ii, </w:t>
          </w:r>
          <w:r>
            <w:rPr>
              <w:rFonts w:ascii="Verdana" w:hAnsi="Verdana"/>
              <w:sz w:val="20"/>
            </w:rPr>
            <w:t xml:space="preserve">iii, iv, v, vi, viii, xii en xv gedeeltelijk ten uitvoer gelegd. </w:t>
          </w:r>
        </w:p>
        <w:p w14:paraId="77076BD0" w14:textId="77777777" w:rsidR="00822686" w:rsidRPr="00F0435E" w:rsidRDefault="00822686" w:rsidP="002C6643">
          <w:pPr>
            <w:pStyle w:val="Paragraphedeliste"/>
            <w:jc w:val="both"/>
            <w:rPr>
              <w:rFonts w:ascii="Verdana" w:hAnsi="Verdana"/>
              <w:sz w:val="20"/>
              <w:szCs w:val="20"/>
            </w:rPr>
          </w:pPr>
        </w:p>
        <w:p w14:paraId="7795C14E" w14:textId="1CAD7002" w:rsidR="00BF3BB5" w:rsidRPr="00BF3BB5" w:rsidRDefault="004153C2" w:rsidP="00BF3BB5">
          <w:pPr>
            <w:pStyle w:val="Paragraphedeliste"/>
            <w:numPr>
              <w:ilvl w:val="0"/>
              <w:numId w:val="29"/>
            </w:numPr>
            <w:jc w:val="both"/>
            <w:rPr>
              <w:rFonts w:ascii="Verdana" w:hAnsi="Verdana"/>
              <w:sz w:val="20"/>
              <w:szCs w:val="20"/>
            </w:rPr>
          </w:pPr>
          <w:r>
            <w:rPr>
              <w:rFonts w:ascii="Verdana" w:hAnsi="Verdana"/>
              <w:sz w:val="20"/>
            </w:rPr>
            <w:t xml:space="preserve">Op het stuk van preventie van corruptie ten aanzien van </w:t>
          </w:r>
          <w:r>
            <w:rPr>
              <w:rFonts w:ascii="Verdana" w:hAnsi="Verdana"/>
              <w:sz w:val="20"/>
              <w:u w:val="single"/>
            </w:rPr>
            <w:t>parlementsleden</w:t>
          </w:r>
          <w:r>
            <w:rPr>
              <w:rFonts w:ascii="Verdana" w:hAnsi="Verdana"/>
              <w:sz w:val="20"/>
            </w:rPr>
            <w:t xml:space="preserve"> valt geen enkele verbetering op te tekenen sinds het voorgaande verslag. Er is een elektronische toepassing voor de aangifte van mandaten ingevoerd, er is versterking gekomen voor het griffiepersoneel van het Rekenhof, en de contacten tussen het Rekenhof en het parket zijn uitgebouwd voor het toepassen van sancties. Er werd gestart met opleidingen, die integriteitsvraagstukken omvatten, ten behoeve van de nieuwe parlementsleden. De regelgeving rond buitenlandse giften werd gepreciseerd in de wet betreffende de financiering van de politieke partijen. De regelgeving rond geschenken is daarentegen voor verbetering vatbaar, net als de transparantie van de contacten tussen parlementsleden en derden. Er moeten regels worden aangenomen die als leidraad zouden fungeren voor de parlementsleden in het kader van die contacten, net als sancties voor de voornaamste overtredingen van de deontologische regels van de parlementsleden. Een verbetering van het stelsel van de aangiften wordt ook verwacht, net als de openbaarmaking van de vermogensaangiften van de parlementsleden. De intenties waarvan het parlement blijk geeft op al deze domeinen zijn nog niet in teksten gegoten en nog niet bewerkstelligd in de praktijk, meer bepaald vanwege de gezondheidssituatie naar aanleiding van COVID-19. </w:t>
          </w:r>
        </w:p>
        <w:p w14:paraId="4AB4E69B" w14:textId="77777777" w:rsidR="00E3600E" w:rsidRPr="00F0435E" w:rsidRDefault="00E3600E" w:rsidP="002C6643">
          <w:pPr>
            <w:pStyle w:val="Paragraphedeliste"/>
            <w:jc w:val="both"/>
            <w:rPr>
              <w:rFonts w:ascii="Verdana" w:hAnsi="Verdana"/>
              <w:sz w:val="20"/>
              <w:szCs w:val="20"/>
            </w:rPr>
          </w:pPr>
        </w:p>
        <w:p w14:paraId="0487301B" w14:textId="29925351" w:rsidR="00BF3BB5" w:rsidRPr="00BF3BB5" w:rsidRDefault="00701B34" w:rsidP="00BF3BB5">
          <w:pPr>
            <w:pStyle w:val="Paragraphedeliste"/>
            <w:numPr>
              <w:ilvl w:val="0"/>
              <w:numId w:val="29"/>
            </w:numPr>
            <w:jc w:val="both"/>
            <w:rPr>
              <w:rFonts w:ascii="Verdana" w:hAnsi="Verdana"/>
              <w:sz w:val="20"/>
              <w:szCs w:val="20"/>
            </w:rPr>
          </w:pPr>
          <w:r>
            <w:rPr>
              <w:rFonts w:ascii="Verdana" w:hAnsi="Verdana"/>
              <w:sz w:val="20"/>
            </w:rPr>
            <w:t xml:space="preserve">Wat de </w:t>
          </w:r>
          <w:r>
            <w:rPr>
              <w:rFonts w:ascii="Verdana" w:hAnsi="Verdana"/>
              <w:sz w:val="20"/>
              <w:u w:val="single"/>
            </w:rPr>
            <w:t>rechters en procureurs</w:t>
          </w:r>
          <w:r>
            <w:rPr>
              <w:rFonts w:ascii="Verdana" w:hAnsi="Verdana"/>
              <w:sz w:val="20"/>
            </w:rPr>
            <w:t xml:space="preserve"> betreft, tekent de GRECO daadwerkelijke vorderingen op. De rechters van de administratieve rechtbanken op federaal niveau zijn onderworpen aan deontologische regels, supervisie en passende sancties; vorderingen zijn er ook op gewestniveau. Met de inwerkingtreding van de wet van 23 maart 2019 betreffende de wijziging van het Gerechtelijk Wetboek zijn stappen vooruit gezet, meer bepaald waar het gaat om de werving en opleiding van de plaatsvervangende rechters, de uitbouw van de audit- en onderzoeksactiviteiten van de Hoge Raad voor de Justitie en een verspreiding van eenvormige deontologische regels onder alle magistraten, zowel beroepsmagistraten als lekenmagistraten. Het normatieve kader voor de organisatie van de werkingsverslagen van het openbaar ministerie is thans vastgelegd. Er zijn nog verbeterpunten op het stuk van harmonisering van de toewijzing van zaken tussen de rechters op het niveau van de hoven van beroep en de rechtbank van eerste aanleg. Er blijven nog zaken te finaliseren met betrekking tot de bewaring van de gegevens inzake tuchtprocedures met betrekking tot de rechters en procureurs. </w:t>
          </w:r>
        </w:p>
        <w:p w14:paraId="7C715279" w14:textId="77777777" w:rsidR="006E77DD" w:rsidRPr="00F0435E" w:rsidRDefault="006E77DD" w:rsidP="00C41F75">
          <w:pPr>
            <w:pStyle w:val="Paragraphedeliste"/>
            <w:rPr>
              <w:rFonts w:ascii="Verdana" w:hAnsi="Verdana"/>
              <w:sz w:val="20"/>
              <w:szCs w:val="20"/>
            </w:rPr>
          </w:pPr>
        </w:p>
        <w:p w14:paraId="3D81AD47" w14:textId="77777777" w:rsidR="009B55C2" w:rsidRPr="009B55C2" w:rsidRDefault="009B55C2" w:rsidP="009B55C2">
          <w:pPr>
            <w:numPr>
              <w:ilvl w:val="0"/>
              <w:numId w:val="29"/>
            </w:numPr>
            <w:jc w:val="both"/>
            <w:rPr>
              <w:rFonts w:ascii="Verdana" w:hAnsi="Verdana"/>
              <w:sz w:val="20"/>
              <w:szCs w:val="20"/>
            </w:rPr>
          </w:pPr>
          <w:r>
            <w:rPr>
              <w:rFonts w:ascii="Verdana" w:hAnsi="Verdana"/>
              <w:sz w:val="20"/>
            </w:rPr>
            <w:t>Gelet op wat voorafgaat, besluit de GRECO dat de globale mate van conformiteit met de aanbevelingen niet langer "over het algemeen onbevredigend” is in de zin van artikel 31, paragraaf 8.3, van het huishoudelijk reglement. De GRECO beslist bijgevolg om voortaan af te zien van de toepassing van artikel 32 met betrekking tot de leden die de aanbevelingen uit het evaluatieverslag niet in acht nemen.</w:t>
          </w:r>
        </w:p>
        <w:p w14:paraId="32E15DAD" w14:textId="77777777" w:rsidR="009B55C2" w:rsidRPr="009B55C2" w:rsidRDefault="009B55C2" w:rsidP="009B55C2">
          <w:pPr>
            <w:ind w:left="567"/>
            <w:jc w:val="both"/>
            <w:rPr>
              <w:rFonts w:ascii="Verdana" w:hAnsi="Verdana"/>
              <w:sz w:val="20"/>
              <w:szCs w:val="20"/>
            </w:rPr>
          </w:pPr>
        </w:p>
        <w:p w14:paraId="0AD38A5F" w14:textId="367436D9" w:rsidR="009B55C2" w:rsidRPr="009B55C2" w:rsidRDefault="009B55C2" w:rsidP="009B55C2">
          <w:pPr>
            <w:numPr>
              <w:ilvl w:val="0"/>
              <w:numId w:val="29"/>
            </w:numPr>
            <w:jc w:val="both"/>
            <w:rPr>
              <w:rFonts w:ascii="Verdana" w:hAnsi="Verdana"/>
              <w:sz w:val="20"/>
              <w:szCs w:val="20"/>
            </w:rPr>
          </w:pPr>
          <w:r>
            <w:rPr>
              <w:rFonts w:ascii="Verdana" w:hAnsi="Verdana"/>
              <w:sz w:val="20"/>
            </w:rPr>
            <w:t xml:space="preserve">Overeenkomstig paragraaf 8.2 van het herziene artikel 31 van het huishoudelijk reglement vraagt de GRECO het hoofd van de Belgische delegatie om hem uiterlijk </w:t>
          </w:r>
          <w:r>
            <w:rPr>
              <w:rFonts w:ascii="Verdana" w:hAnsi="Verdana"/>
              <w:sz w:val="20"/>
            </w:rPr>
            <w:lastRenderedPageBreak/>
            <w:t xml:space="preserve">op </w:t>
          </w:r>
          <w:r>
            <w:rPr>
              <w:rFonts w:ascii="Verdana" w:hAnsi="Verdana"/>
              <w:sz w:val="20"/>
              <w:u w:val="single"/>
            </w:rPr>
            <w:t>30 juni 2023</w:t>
          </w:r>
          <w:r>
            <w:rPr>
              <w:rFonts w:ascii="Verdana" w:hAnsi="Verdana"/>
              <w:sz w:val="20"/>
            </w:rPr>
            <w:t xml:space="preserve"> bijkomende informatie te bezorgen met betrekking tot aanbevelingen i, ii, iii, iv, v, vi, viii, xii en x. </w:t>
          </w:r>
        </w:p>
        <w:p w14:paraId="138BFCE3" w14:textId="77777777" w:rsidR="006E77DD" w:rsidRPr="00F0435E" w:rsidRDefault="006E77DD" w:rsidP="00E62FBE">
          <w:pPr>
            <w:jc w:val="both"/>
            <w:rPr>
              <w:rFonts w:ascii="Verdana" w:hAnsi="Verdana"/>
              <w:sz w:val="20"/>
              <w:szCs w:val="20"/>
            </w:rPr>
          </w:pPr>
        </w:p>
        <w:p w14:paraId="6BDC582F" w14:textId="77777777" w:rsidR="007C6961" w:rsidRPr="00F0435E" w:rsidRDefault="001876B5" w:rsidP="001876B5">
          <w:pPr>
            <w:numPr>
              <w:ilvl w:val="0"/>
              <w:numId w:val="29"/>
            </w:numPr>
            <w:jc w:val="both"/>
            <w:rPr>
              <w:rFonts w:ascii="Verdana" w:hAnsi="Verdana"/>
              <w:sz w:val="20"/>
              <w:szCs w:val="20"/>
            </w:rPr>
          </w:pPr>
          <w:r>
            <w:rPr>
              <w:rFonts w:ascii="Verdana" w:hAnsi="Verdana"/>
              <w:sz w:val="20"/>
            </w:rPr>
            <w:t>Tot slot verzoekt de GRECO de Belgische overheid om in te stemmen met de bekendmaking van dit verslag, het naar de andere landstalen te vertalen en die vertalingen openbaar te maken.</w:t>
          </w:r>
        </w:p>
        <w:p w14:paraId="7F2FE23B" w14:textId="77777777" w:rsidR="000B16E0" w:rsidRPr="00F0435E" w:rsidRDefault="006A70A3" w:rsidP="002C6643">
          <w:pPr>
            <w:jc w:val="both"/>
            <w:rPr>
              <w:rFonts w:ascii="Verdana" w:hAnsi="Verdana"/>
              <w:sz w:val="20"/>
              <w:szCs w:val="20"/>
            </w:rPr>
          </w:pPr>
        </w:p>
      </w:sdtContent>
    </w:sdt>
    <w:sectPr w:rsidR="000B16E0" w:rsidRPr="00F0435E" w:rsidSect="00064B78">
      <w:footerReference w:type="even" r:id="rId23"/>
      <w:footerReference w:type="default" r:id="rId24"/>
      <w:footerReference w:type="first" r:id="rId25"/>
      <w:pgSz w:w="11907" w:h="16840" w:code="9"/>
      <w:pgMar w:top="1418" w:right="1418" w:bottom="1418"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0DB3" w14:textId="77777777" w:rsidR="006A70A3" w:rsidRDefault="006A70A3" w:rsidP="007C6961">
      <w:r>
        <w:separator/>
      </w:r>
    </w:p>
  </w:endnote>
  <w:endnote w:type="continuationSeparator" w:id="0">
    <w:p w14:paraId="4BDF44BC" w14:textId="77777777" w:rsidR="006A70A3" w:rsidRDefault="006A70A3" w:rsidP="007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41EF" w14:textId="77777777" w:rsidR="0090105A" w:rsidRDefault="0090105A" w:rsidP="00E562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38</w:t>
    </w:r>
    <w:r>
      <w:rPr>
        <w:rStyle w:val="Numrodepage"/>
      </w:rPr>
      <w:fldChar w:fldCharType="end"/>
    </w:r>
  </w:p>
  <w:p w14:paraId="305D3C6D" w14:textId="77777777" w:rsidR="0090105A" w:rsidRDefault="009010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47C0" w14:textId="77777777" w:rsidR="0090105A" w:rsidRPr="00AE010F" w:rsidRDefault="0090105A" w:rsidP="00E56254">
    <w:pPr>
      <w:pStyle w:val="Pieddepage"/>
      <w:framePr w:wrap="around" w:vAnchor="text" w:hAnchor="margin" w:xAlign="center" w:y="1"/>
      <w:rPr>
        <w:rStyle w:val="Numrodepage"/>
        <w:rFonts w:ascii="Verdana" w:hAnsi="Verdana" w:cstheme="minorHAnsi"/>
      </w:rPr>
    </w:pPr>
    <w:r w:rsidRPr="00AE010F">
      <w:rPr>
        <w:rStyle w:val="Numrodepage"/>
        <w:rFonts w:ascii="Verdana" w:hAnsi="Verdana" w:cstheme="minorHAnsi"/>
      </w:rPr>
      <w:fldChar w:fldCharType="begin"/>
    </w:r>
    <w:r w:rsidRPr="00AE010F">
      <w:rPr>
        <w:rStyle w:val="Numrodepage"/>
        <w:rFonts w:ascii="Verdana" w:hAnsi="Verdana" w:cstheme="minorHAnsi"/>
      </w:rPr>
      <w:instrText xml:space="preserve">PAGE  </w:instrText>
    </w:r>
    <w:r w:rsidRPr="00AE010F">
      <w:rPr>
        <w:rStyle w:val="Numrodepage"/>
        <w:rFonts w:ascii="Verdana" w:hAnsi="Verdana" w:cstheme="minorHAnsi"/>
      </w:rPr>
      <w:fldChar w:fldCharType="separate"/>
    </w:r>
    <w:r>
      <w:rPr>
        <w:rStyle w:val="Numrodepage"/>
        <w:rFonts w:ascii="Verdana" w:hAnsi="Verdana" w:cstheme="minorHAnsi"/>
      </w:rPr>
      <w:t>3</w:t>
    </w:r>
    <w:r w:rsidRPr="00AE010F">
      <w:rPr>
        <w:rStyle w:val="Numrodepage"/>
        <w:rFonts w:ascii="Verdana" w:hAnsi="Verdana" w:cstheme="minorHAnsi"/>
      </w:rPr>
      <w:fldChar w:fldCharType="end"/>
    </w:r>
  </w:p>
  <w:p w14:paraId="42637381" w14:textId="77777777" w:rsidR="0090105A" w:rsidRDefault="009010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4" w:type="dxa"/>
      <w:tblInd w:w="-1026" w:type="dxa"/>
      <w:tblBorders>
        <w:top w:val="single" w:sz="4" w:space="0" w:color="auto"/>
      </w:tblBorders>
      <w:tblLook w:val="04A0" w:firstRow="1" w:lastRow="0" w:firstColumn="1" w:lastColumn="0" w:noHBand="0" w:noVBand="1"/>
    </w:tblPr>
    <w:tblGrid>
      <w:gridCol w:w="2835"/>
      <w:gridCol w:w="2456"/>
      <w:gridCol w:w="3073"/>
    </w:tblGrid>
    <w:tr w:rsidR="00463774" w:rsidRPr="00A507FE" w14:paraId="1F62B313" w14:textId="77777777" w:rsidTr="0085743C">
      <w:tc>
        <w:tcPr>
          <w:tcW w:w="2835" w:type="dxa"/>
          <w:tcBorders>
            <w:top w:val="single" w:sz="4" w:space="0" w:color="auto"/>
            <w:left w:val="nil"/>
            <w:bottom w:val="nil"/>
            <w:right w:val="nil"/>
          </w:tcBorders>
          <w:vAlign w:val="center"/>
          <w:hideMark/>
        </w:tcPr>
        <w:p w14:paraId="518AB144" w14:textId="77777777" w:rsidR="00463774" w:rsidRPr="00723B23" w:rsidRDefault="00463774" w:rsidP="00463774">
          <w:pPr>
            <w:tabs>
              <w:tab w:val="center" w:pos="4320"/>
              <w:tab w:val="right" w:pos="8640"/>
            </w:tabs>
            <w:spacing w:before="120"/>
            <w:rPr>
              <w:rFonts w:asciiTheme="minorHAnsi" w:hAnsiTheme="minorHAnsi" w:cstheme="minorHAnsi"/>
              <w:sz w:val="18"/>
              <w:szCs w:val="14"/>
            </w:rPr>
          </w:pPr>
          <w:r>
            <w:rPr>
              <w:rFonts w:asciiTheme="minorHAnsi" w:hAnsiTheme="minorHAnsi"/>
              <w:sz w:val="18"/>
            </w:rPr>
            <w:t>Secretariaat van de GRECO</w:t>
          </w:r>
        </w:p>
        <w:p w14:paraId="50BF69C0" w14:textId="77777777" w:rsidR="00463774" w:rsidRPr="00723B23" w:rsidRDefault="00463774" w:rsidP="00463774">
          <w:pPr>
            <w:tabs>
              <w:tab w:val="center" w:pos="4320"/>
              <w:tab w:val="right" w:pos="8640"/>
            </w:tabs>
            <w:rPr>
              <w:rFonts w:asciiTheme="minorHAnsi" w:hAnsiTheme="minorHAnsi" w:cstheme="minorHAnsi"/>
              <w:sz w:val="18"/>
              <w:szCs w:val="14"/>
            </w:rPr>
          </w:pPr>
          <w:r>
            <w:rPr>
              <w:rFonts w:asciiTheme="minorHAnsi" w:hAnsiTheme="minorHAnsi"/>
              <w:sz w:val="18"/>
            </w:rPr>
            <w:t>Raad van Europa</w:t>
          </w:r>
        </w:p>
        <w:p w14:paraId="5A48C1BE" w14:textId="77777777" w:rsidR="00463774" w:rsidRPr="00723B23" w:rsidRDefault="00463774" w:rsidP="00463774">
          <w:pPr>
            <w:tabs>
              <w:tab w:val="center" w:pos="4320"/>
              <w:tab w:val="right" w:pos="8640"/>
            </w:tabs>
            <w:rPr>
              <w:rFonts w:asciiTheme="minorHAnsi" w:hAnsiTheme="minorHAnsi" w:cstheme="minorHAnsi"/>
              <w:sz w:val="18"/>
              <w:szCs w:val="14"/>
            </w:rPr>
          </w:pPr>
          <w:r>
            <w:rPr>
              <w:rFonts w:asciiTheme="minorHAnsi" w:hAnsiTheme="minorHAnsi"/>
              <w:sz w:val="18"/>
            </w:rPr>
            <w:t>F-67075 Straatsburg Cedex</w:t>
          </w:r>
        </w:p>
        <w:p w14:paraId="343D6B71" w14:textId="77777777" w:rsidR="00463774" w:rsidRPr="00723B23" w:rsidRDefault="00463774" w:rsidP="00463774">
          <w:pPr>
            <w:tabs>
              <w:tab w:val="center" w:pos="4320"/>
              <w:tab w:val="right" w:pos="8640"/>
            </w:tabs>
            <w:rPr>
              <w:rFonts w:asciiTheme="minorHAnsi" w:hAnsiTheme="minorHAnsi" w:cstheme="minorHAnsi"/>
              <w:sz w:val="18"/>
              <w:szCs w:val="14"/>
            </w:rPr>
          </w:pPr>
          <w:r>
            <w:rPr>
              <w:rFonts w:asciiTheme="minorHAnsi" w:hAnsiTheme="minorHAnsi"/>
              <w:sz w:val="18"/>
            </w:rPr>
            <w:sym w:font="Wingdings" w:char="F028"/>
          </w:r>
          <w:r>
            <w:rPr>
              <w:rFonts w:asciiTheme="minorHAnsi" w:hAnsiTheme="minorHAnsi"/>
              <w:sz w:val="18"/>
            </w:rPr>
            <w:t xml:space="preserve"> +33 3 88 41 20 00</w:t>
          </w:r>
        </w:p>
      </w:tc>
      <w:tc>
        <w:tcPr>
          <w:tcW w:w="2456" w:type="dxa"/>
          <w:tcBorders>
            <w:top w:val="single" w:sz="4" w:space="0" w:color="auto"/>
            <w:left w:val="nil"/>
            <w:bottom w:val="nil"/>
            <w:right w:val="nil"/>
          </w:tcBorders>
          <w:vAlign w:val="center"/>
          <w:hideMark/>
        </w:tcPr>
        <w:p w14:paraId="334FAA97" w14:textId="77777777" w:rsidR="00463774" w:rsidRPr="00723B23" w:rsidRDefault="006A70A3" w:rsidP="00463774">
          <w:pPr>
            <w:tabs>
              <w:tab w:val="center" w:pos="4320"/>
              <w:tab w:val="right" w:pos="8640"/>
            </w:tabs>
            <w:ind w:firstLine="39"/>
            <w:jc w:val="center"/>
            <w:rPr>
              <w:rFonts w:asciiTheme="minorHAnsi" w:hAnsiTheme="minorHAnsi" w:cstheme="minorHAnsi"/>
              <w:color w:val="0000FF"/>
              <w:sz w:val="18"/>
              <w:szCs w:val="14"/>
            </w:rPr>
          </w:pPr>
          <w:hyperlink r:id="rId1">
            <w:r w:rsidR="00D554A9">
              <w:rPr>
                <w:rStyle w:val="Lienhypertexte"/>
                <w:rFonts w:asciiTheme="minorHAnsi" w:hAnsiTheme="minorHAnsi"/>
              </w:rPr>
              <w:t>www.coe.int/greco</w:t>
            </w:r>
          </w:hyperlink>
        </w:p>
      </w:tc>
      <w:tc>
        <w:tcPr>
          <w:tcW w:w="3073" w:type="dxa"/>
          <w:tcBorders>
            <w:top w:val="single" w:sz="4" w:space="0" w:color="auto"/>
            <w:left w:val="nil"/>
            <w:bottom w:val="nil"/>
            <w:right w:val="nil"/>
          </w:tcBorders>
          <w:vAlign w:val="center"/>
          <w:hideMark/>
        </w:tcPr>
        <w:p w14:paraId="125022D9" w14:textId="77777777" w:rsidR="00463774" w:rsidRPr="00723B23" w:rsidRDefault="00463774" w:rsidP="00463774">
          <w:pPr>
            <w:tabs>
              <w:tab w:val="center" w:pos="4320"/>
              <w:tab w:val="right" w:pos="8640"/>
            </w:tabs>
            <w:spacing w:before="120"/>
            <w:jc w:val="right"/>
            <w:rPr>
              <w:rFonts w:asciiTheme="minorHAnsi" w:hAnsiTheme="minorHAnsi" w:cstheme="minorHAnsi"/>
              <w:sz w:val="18"/>
              <w:szCs w:val="14"/>
            </w:rPr>
          </w:pPr>
          <w:r>
            <w:rPr>
              <w:rFonts w:asciiTheme="minorHAnsi" w:hAnsiTheme="minorHAnsi"/>
              <w:sz w:val="18"/>
            </w:rPr>
            <w:t>Directoraat-generaal I</w:t>
          </w:r>
        </w:p>
        <w:p w14:paraId="275596F5" w14:textId="77777777" w:rsidR="00463774" w:rsidRPr="00723B23" w:rsidRDefault="00463774" w:rsidP="00463774">
          <w:pPr>
            <w:tabs>
              <w:tab w:val="center" w:pos="4320"/>
              <w:tab w:val="right" w:pos="8640"/>
            </w:tabs>
            <w:jc w:val="right"/>
            <w:rPr>
              <w:rFonts w:asciiTheme="minorHAnsi" w:hAnsiTheme="minorHAnsi" w:cstheme="minorHAnsi"/>
              <w:sz w:val="18"/>
              <w:szCs w:val="14"/>
            </w:rPr>
          </w:pPr>
          <w:r>
            <w:rPr>
              <w:rFonts w:asciiTheme="minorHAnsi" w:hAnsiTheme="minorHAnsi"/>
              <w:sz w:val="18"/>
            </w:rPr>
            <w:t>Mensenrechten en rechtsstaat</w:t>
          </w:r>
        </w:p>
        <w:p w14:paraId="198CEA5B" w14:textId="77777777" w:rsidR="00463774" w:rsidRPr="00723B23" w:rsidRDefault="00463774" w:rsidP="00463774">
          <w:pPr>
            <w:tabs>
              <w:tab w:val="center" w:pos="4320"/>
              <w:tab w:val="right" w:pos="8640"/>
            </w:tabs>
            <w:jc w:val="right"/>
            <w:rPr>
              <w:rFonts w:asciiTheme="minorHAnsi" w:hAnsiTheme="minorHAnsi" w:cstheme="minorHAnsi"/>
              <w:sz w:val="18"/>
              <w:szCs w:val="14"/>
            </w:rPr>
          </w:pPr>
          <w:r>
            <w:rPr>
              <w:rFonts w:asciiTheme="minorHAnsi" w:hAnsiTheme="minorHAnsi"/>
              <w:sz w:val="18"/>
            </w:rPr>
            <w:t xml:space="preserve">Directoraat Informatiemaatschappij </w:t>
          </w:r>
        </w:p>
        <w:p w14:paraId="4E07651F" w14:textId="192E1448" w:rsidR="00463774" w:rsidRDefault="00463774" w:rsidP="00463774">
          <w:pPr>
            <w:tabs>
              <w:tab w:val="center" w:pos="4320"/>
              <w:tab w:val="right" w:pos="8640"/>
            </w:tabs>
            <w:jc w:val="right"/>
            <w:rPr>
              <w:rFonts w:asciiTheme="minorHAnsi" w:hAnsiTheme="minorHAnsi" w:cstheme="minorHAnsi"/>
              <w:sz w:val="18"/>
            </w:rPr>
          </w:pPr>
          <w:r>
            <w:rPr>
              <w:rFonts w:asciiTheme="minorHAnsi" w:hAnsiTheme="minorHAnsi"/>
              <w:sz w:val="18"/>
            </w:rPr>
            <w:t>en actie tegen de misdaad</w:t>
          </w:r>
        </w:p>
        <w:p w14:paraId="0CBF3BB8" w14:textId="77777777" w:rsidR="00463774" w:rsidRPr="00723B23" w:rsidRDefault="00463774" w:rsidP="00463774">
          <w:pPr>
            <w:tabs>
              <w:tab w:val="center" w:pos="4320"/>
              <w:tab w:val="right" w:pos="8640"/>
            </w:tabs>
            <w:jc w:val="right"/>
            <w:rPr>
              <w:rFonts w:asciiTheme="minorHAnsi" w:hAnsiTheme="minorHAnsi" w:cstheme="minorHAnsi"/>
              <w:sz w:val="18"/>
              <w:szCs w:val="14"/>
            </w:rPr>
          </w:pPr>
        </w:p>
      </w:tc>
    </w:tr>
  </w:tbl>
  <w:p w14:paraId="39CC61B9" w14:textId="77777777" w:rsidR="0090105A" w:rsidRPr="00690A1D" w:rsidRDefault="0090105A" w:rsidP="00EC0B69">
    <w:pPr>
      <w:pStyle w:val="Pieddepag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DE41" w14:textId="77777777" w:rsidR="0090105A" w:rsidRDefault="009010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9</w:t>
    </w:r>
    <w:r>
      <w:rPr>
        <w:rStyle w:val="Numrodepage"/>
      </w:rPr>
      <w:fldChar w:fldCharType="end"/>
    </w:r>
  </w:p>
  <w:p w14:paraId="5C8838F5" w14:textId="77777777" w:rsidR="0090105A" w:rsidRDefault="0090105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F83" w14:textId="77777777" w:rsidR="0090105A" w:rsidRPr="00466425" w:rsidRDefault="0090105A">
    <w:pPr>
      <w:pStyle w:val="Pieddepage"/>
      <w:framePr w:wrap="around" w:vAnchor="text" w:hAnchor="margin" w:xAlign="center" w:y="1"/>
      <w:rPr>
        <w:rStyle w:val="Numrodepage"/>
        <w:rFonts w:ascii="Verdana" w:hAnsi="Verdana"/>
        <w:sz w:val="20"/>
        <w:szCs w:val="20"/>
      </w:rPr>
    </w:pPr>
    <w:r w:rsidRPr="00466425">
      <w:rPr>
        <w:rStyle w:val="Numrodepage"/>
        <w:rFonts w:ascii="Verdana" w:hAnsi="Verdana"/>
        <w:sz w:val="20"/>
      </w:rPr>
      <w:fldChar w:fldCharType="begin"/>
    </w:r>
    <w:r w:rsidRPr="00466425">
      <w:rPr>
        <w:rStyle w:val="Numrodepage"/>
        <w:rFonts w:ascii="Verdana" w:hAnsi="Verdana"/>
        <w:sz w:val="20"/>
      </w:rPr>
      <w:instrText xml:space="preserve">PAGE  </w:instrText>
    </w:r>
    <w:r w:rsidRPr="00466425">
      <w:rPr>
        <w:rStyle w:val="Numrodepage"/>
        <w:rFonts w:ascii="Verdana" w:hAnsi="Verdana"/>
        <w:sz w:val="20"/>
      </w:rPr>
      <w:fldChar w:fldCharType="separate"/>
    </w:r>
    <w:r w:rsidR="00EB6237">
      <w:rPr>
        <w:rStyle w:val="Numrodepage"/>
        <w:rFonts w:ascii="Verdana" w:hAnsi="Verdana"/>
        <w:noProof/>
        <w:sz w:val="20"/>
      </w:rPr>
      <w:t>12</w:t>
    </w:r>
    <w:r w:rsidRPr="00466425">
      <w:rPr>
        <w:rStyle w:val="Numrodepage"/>
        <w:rFonts w:ascii="Verdana" w:hAnsi="Verdana"/>
        <w:sz w:val="20"/>
      </w:rPr>
      <w:fldChar w:fldCharType="end"/>
    </w:r>
  </w:p>
  <w:p w14:paraId="659242C6" w14:textId="77777777" w:rsidR="0090105A" w:rsidRDefault="0090105A">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77557"/>
      <w:docPartObj>
        <w:docPartGallery w:val="Page Numbers (Bottom of Page)"/>
        <w:docPartUnique/>
      </w:docPartObj>
    </w:sdtPr>
    <w:sdtEndPr/>
    <w:sdtContent>
      <w:p w14:paraId="43C4C4E6" w14:textId="77777777" w:rsidR="0090105A" w:rsidRDefault="0090105A">
        <w:pPr>
          <w:pStyle w:val="Pieddepage"/>
          <w:jc w:val="center"/>
        </w:pPr>
        <w:r>
          <w:fldChar w:fldCharType="begin"/>
        </w:r>
        <w:r>
          <w:instrText>PAGE   \* MERGEFORMAT</w:instrText>
        </w:r>
        <w:r>
          <w:fldChar w:fldCharType="separate"/>
        </w:r>
        <w:r w:rsidR="00EB6237">
          <w:rPr>
            <w:noProof/>
          </w:rPr>
          <w:t>2</w:t>
        </w:r>
        <w:r>
          <w:fldChar w:fldCharType="end"/>
        </w:r>
      </w:p>
    </w:sdtContent>
  </w:sdt>
  <w:p w14:paraId="6EC28F82" w14:textId="77777777" w:rsidR="0090105A" w:rsidRPr="00FC22F9" w:rsidRDefault="0090105A" w:rsidP="00CC0EA6">
    <w:pPr>
      <w:tabs>
        <w:tab w:val="center" w:pos="4320"/>
        <w:tab w:val="right" w:pos="8640"/>
      </w:tabs>
      <w:rPr>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E14B" w14:textId="77777777" w:rsidR="006A70A3" w:rsidRDefault="006A70A3" w:rsidP="007C6961">
      <w:r>
        <w:separator/>
      </w:r>
    </w:p>
  </w:footnote>
  <w:footnote w:type="continuationSeparator" w:id="0">
    <w:p w14:paraId="2F7A00A2" w14:textId="77777777" w:rsidR="006A70A3" w:rsidRDefault="006A70A3" w:rsidP="007C6961">
      <w:r>
        <w:continuationSeparator/>
      </w:r>
    </w:p>
  </w:footnote>
  <w:footnote w:id="1">
    <w:p w14:paraId="28DBA25A" w14:textId="06687F95" w:rsidR="00013AE5" w:rsidRPr="00D454B2" w:rsidRDefault="00013AE5">
      <w:pPr>
        <w:pStyle w:val="Notedebasdepage"/>
        <w:rPr>
          <w:sz w:val="18"/>
          <w:szCs w:val="18"/>
        </w:rPr>
      </w:pPr>
      <w:r>
        <w:rPr>
          <w:rStyle w:val="Appelnotedebasdep"/>
          <w:rFonts w:ascii="Verdana" w:hAnsi="Verdana"/>
          <w:sz w:val="16"/>
          <w:szCs w:val="16"/>
        </w:rPr>
        <w:footnoteRef/>
      </w:r>
      <w:r>
        <w:rPr>
          <w:sz w:val="18"/>
        </w:rPr>
        <w:t xml:space="preserve"> </w:t>
      </w:r>
      <w:r>
        <w:rPr>
          <w:rFonts w:ascii="Verdana" w:hAnsi="Verdana"/>
          <w:sz w:val="16"/>
        </w:rPr>
        <w:t>Nr. 2021/3 van 8 september 2021</w:t>
      </w:r>
    </w:p>
  </w:footnote>
  <w:footnote w:id="2">
    <w:p w14:paraId="154FBFF8" w14:textId="1E4A7E01" w:rsidR="00013AE5" w:rsidRPr="00013AE5" w:rsidRDefault="00013AE5">
      <w:pPr>
        <w:pStyle w:val="Notedebasdepage"/>
        <w:rPr>
          <w:rFonts w:ascii="Verdana" w:hAnsi="Verdana"/>
          <w:sz w:val="18"/>
          <w:szCs w:val="18"/>
        </w:rPr>
      </w:pPr>
      <w:r>
        <w:rPr>
          <w:rStyle w:val="Appelnotedebasdep"/>
          <w:rFonts w:ascii="Verdana" w:hAnsi="Verdana"/>
          <w:sz w:val="16"/>
          <w:szCs w:val="16"/>
        </w:rPr>
        <w:footnoteRef/>
      </w:r>
      <w:r>
        <w:rPr>
          <w:sz w:val="18"/>
        </w:rPr>
        <w:t xml:space="preserve"> </w:t>
      </w:r>
      <w:r>
        <w:rPr>
          <w:rFonts w:ascii="Verdana" w:hAnsi="Verdana"/>
          <w:sz w:val="16"/>
        </w:rPr>
        <w:t>Nr. 2021/5 van 30 november 2021</w:t>
      </w:r>
    </w:p>
  </w:footnote>
  <w:footnote w:id="3">
    <w:p w14:paraId="5D94970C" w14:textId="2442FEAF" w:rsidR="008C15BA" w:rsidRPr="00E62FBE" w:rsidRDefault="008C15BA" w:rsidP="00074707">
      <w:pPr>
        <w:pStyle w:val="Notedebasdepage"/>
        <w:jc w:val="both"/>
        <w:rPr>
          <w:rFonts w:ascii="Verdana" w:hAnsi="Verdana"/>
          <w:sz w:val="16"/>
          <w:szCs w:val="16"/>
        </w:rPr>
      </w:pPr>
      <w:r>
        <w:rPr>
          <w:rStyle w:val="Appelnotedebasdep"/>
          <w:rFonts w:ascii="Verdana" w:hAnsi="Verdana"/>
          <w:sz w:val="16"/>
          <w:szCs w:val="16"/>
        </w:rPr>
        <w:footnoteRef/>
      </w:r>
      <w:r>
        <w:rPr>
          <w:sz w:val="18"/>
        </w:rPr>
        <w:t xml:space="preserve"> </w:t>
      </w:r>
      <w:r>
        <w:rPr>
          <w:rFonts w:ascii="Verdana" w:hAnsi="Verdana"/>
          <w:sz w:val="16"/>
        </w:rPr>
        <w:t>DOC 55 nr. 2394/001.</w:t>
      </w:r>
    </w:p>
  </w:footnote>
  <w:footnote w:id="4">
    <w:p w14:paraId="6027B4F6" w14:textId="4CC98C0C" w:rsidR="00331257" w:rsidRPr="00331257" w:rsidRDefault="00331257" w:rsidP="00074707">
      <w:pPr>
        <w:pStyle w:val="Notedebasdepage"/>
        <w:jc w:val="both"/>
        <w:rPr>
          <w:rFonts w:ascii="Verdana" w:hAnsi="Verdana"/>
          <w:sz w:val="18"/>
          <w:szCs w:val="18"/>
        </w:rPr>
      </w:pPr>
      <w:r>
        <w:rPr>
          <w:rStyle w:val="Appelnotedebasdep"/>
          <w:rFonts w:ascii="Verdana" w:hAnsi="Verdana"/>
          <w:sz w:val="16"/>
          <w:szCs w:val="16"/>
        </w:rPr>
        <w:footnoteRef/>
      </w:r>
      <w:r>
        <w:rPr>
          <w:sz w:val="18"/>
        </w:rPr>
        <w:t xml:space="preserve"> </w:t>
      </w:r>
      <w:r>
        <w:rPr>
          <w:rFonts w:ascii="Verdana" w:hAnsi="Verdana"/>
          <w:sz w:val="16"/>
        </w:rPr>
        <w:t xml:space="preserve">Deze wet zou kunnen voldoen aan de aanbevelingen van de GRECO in het kader van evaluatiecycli IV (parlementsleden) en V (hoge functies van de uitvoerende macht). </w:t>
      </w:r>
    </w:p>
  </w:footnote>
  <w:footnote w:id="5">
    <w:p w14:paraId="346D8B5A" w14:textId="7292CF99" w:rsidR="00710089" w:rsidRPr="00710089" w:rsidRDefault="00710089">
      <w:pPr>
        <w:pStyle w:val="Notedebasdepage"/>
        <w:rPr>
          <w:rFonts w:ascii="Verdana" w:hAnsi="Verdana"/>
          <w:sz w:val="18"/>
          <w:szCs w:val="18"/>
        </w:rPr>
      </w:pPr>
      <w:r>
        <w:rPr>
          <w:rStyle w:val="Appelnotedebasdep"/>
          <w:rFonts w:ascii="Verdana" w:hAnsi="Verdana"/>
          <w:sz w:val="16"/>
          <w:szCs w:val="16"/>
        </w:rPr>
        <w:footnoteRef/>
      </w:r>
      <w:r>
        <w:rPr>
          <w:rFonts w:ascii="Verdana" w:hAnsi="Verdana"/>
          <w:sz w:val="16"/>
        </w:rPr>
        <w:t xml:space="preserve"> Hoofdstuk 8: “Onverenigbaarheden en tucht” onder titel VII (zie WET (fgov.be)).</w:t>
      </w:r>
    </w:p>
  </w:footnote>
  <w:footnote w:id="6">
    <w:p w14:paraId="6828C8DC" w14:textId="1CD9585A" w:rsidR="0046147E" w:rsidRPr="0046147E" w:rsidRDefault="0046147E">
      <w:pPr>
        <w:pStyle w:val="Notedebasdepage"/>
        <w:rPr>
          <w:rFonts w:ascii="Verdana" w:hAnsi="Verdana"/>
          <w:sz w:val="18"/>
          <w:szCs w:val="18"/>
        </w:rPr>
      </w:pPr>
      <w:r>
        <w:rPr>
          <w:rFonts w:ascii="Verdana" w:hAnsi="Verdana"/>
          <w:sz w:val="16"/>
          <w:szCs w:val="16"/>
          <w:lang w:val="fr-FR"/>
        </w:rPr>
        <w:footnoteRef/>
      </w:r>
      <w:r>
        <w:rPr>
          <w:rFonts w:ascii="Verdana" w:hAnsi="Verdana"/>
          <w:sz w:val="16"/>
        </w:rPr>
        <w:t>Koninklijk besluit van 9 augustus 2020 (Belgisch Staatsblad van 21 augustus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681537"/>
    <w:multiLevelType w:val="hybridMultilevel"/>
    <w:tmpl w:val="BC385660"/>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6DB6"/>
    <w:multiLevelType w:val="hybridMultilevel"/>
    <w:tmpl w:val="7020104C"/>
    <w:lvl w:ilvl="0" w:tplc="B8EA8B56">
      <w:start w:val="1"/>
      <w:numFmt w:val="decimal"/>
      <w:lvlText w:val="%1."/>
      <w:lvlJc w:val="left"/>
      <w:pPr>
        <w:ind w:left="567" w:hanging="567"/>
      </w:pPr>
      <w:rPr>
        <w:rFonts w:ascii="Verdana" w:hAnsi="Verdana" w:hint="default"/>
        <w:b w:val="0"/>
        <w:i w:val="0"/>
        <w:color w:val="auto"/>
        <w:u w:val="no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529EF"/>
    <w:multiLevelType w:val="hybridMultilevel"/>
    <w:tmpl w:val="2E9C5E94"/>
    <w:lvl w:ilvl="0" w:tplc="A47C95B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0D6ECA"/>
    <w:multiLevelType w:val="hybridMultilevel"/>
    <w:tmpl w:val="F8C2B54A"/>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43778"/>
    <w:multiLevelType w:val="hybridMultilevel"/>
    <w:tmpl w:val="6CF2EDC0"/>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hint="default"/>
      </w:rPr>
    </w:lvl>
    <w:lvl w:ilvl="1">
      <w:start w:val="18"/>
      <w:numFmt w:val="decimal"/>
      <w:lvlText w:val="%2."/>
      <w:lvlJc w:val="left"/>
      <w:pPr>
        <w:tabs>
          <w:tab w:val="num" w:pos="567"/>
        </w:tabs>
        <w:ind w:left="567" w:hanging="567"/>
      </w:pPr>
      <w:rPr>
        <w:rFonts w:ascii="Arial Narrow" w:hAnsi="Arial Narrow" w:hint="default"/>
        <w:b w:val="0"/>
        <w:i w:val="0"/>
        <w:sz w:val="24"/>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7" w15:restartNumberingAfterBreak="0">
    <w:nsid w:val="388800CF"/>
    <w:multiLevelType w:val="hybridMultilevel"/>
    <w:tmpl w:val="6E842D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B5736A0"/>
    <w:multiLevelType w:val="hybridMultilevel"/>
    <w:tmpl w:val="CF2EA59E"/>
    <w:lvl w:ilvl="0" w:tplc="04090001">
      <w:start w:val="1"/>
      <w:numFmt w:val="bullet"/>
      <w:lvlText w:val=""/>
      <w:lvlJc w:val="left"/>
      <w:pPr>
        <w:tabs>
          <w:tab w:val="num" w:pos="360"/>
        </w:tabs>
        <w:ind w:left="360" w:hanging="360"/>
      </w:pPr>
      <w:rPr>
        <w:rFonts w:ascii="Symbol" w:hAnsi="Symbol"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00DC6"/>
    <w:multiLevelType w:val="hybridMultilevel"/>
    <w:tmpl w:val="273A2F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08D1CD8"/>
    <w:multiLevelType w:val="hybridMultilevel"/>
    <w:tmpl w:val="7D3491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272470A"/>
    <w:multiLevelType w:val="hybridMultilevel"/>
    <w:tmpl w:val="BD308376"/>
    <w:lvl w:ilvl="0" w:tplc="A01A8FF8">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73045"/>
    <w:multiLevelType w:val="singleLevel"/>
    <w:tmpl w:val="1FFEC2F6"/>
    <w:lvl w:ilvl="0">
      <w:start w:val="1"/>
      <w:numFmt w:val="upperRoman"/>
      <w:pStyle w:val="Titre7"/>
      <w:lvlText w:val="%1."/>
      <w:lvlJc w:val="left"/>
      <w:pPr>
        <w:tabs>
          <w:tab w:val="num" w:pos="720"/>
        </w:tabs>
        <w:ind w:left="720" w:hanging="720"/>
      </w:pPr>
      <w:rPr>
        <w:rFonts w:hint="default"/>
        <w:u w:val="none"/>
      </w:rPr>
    </w:lvl>
  </w:abstractNum>
  <w:abstractNum w:abstractNumId="13" w15:restartNumberingAfterBreak="0">
    <w:nsid w:val="483613AA"/>
    <w:multiLevelType w:val="hybridMultilevel"/>
    <w:tmpl w:val="83E0A1E0"/>
    <w:lvl w:ilvl="0" w:tplc="37562BE0">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D60A9"/>
    <w:multiLevelType w:val="hybridMultilevel"/>
    <w:tmpl w:val="0BFE75B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E3A3CE6"/>
    <w:multiLevelType w:val="singleLevel"/>
    <w:tmpl w:val="3DBE05D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A6670D"/>
    <w:multiLevelType w:val="hybridMultilevel"/>
    <w:tmpl w:val="55F2B9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906B67"/>
    <w:multiLevelType w:val="hybridMultilevel"/>
    <w:tmpl w:val="D9589A14"/>
    <w:lvl w:ilvl="0" w:tplc="1E7A752C">
      <w:start w:val="1"/>
      <w:numFmt w:val="decimal"/>
      <w:lvlText w:val="%1."/>
      <w:lvlJc w:val="left"/>
      <w:pPr>
        <w:tabs>
          <w:tab w:val="num" w:pos="759"/>
        </w:tabs>
        <w:ind w:left="759" w:hanging="360"/>
      </w:pPr>
      <w:rPr>
        <w:rFonts w:ascii="Arial Narrow" w:hAnsi="Arial Narrow" w:hint="default"/>
        <w:b w:val="0"/>
        <w:i w:val="0"/>
        <w:sz w:val="24"/>
      </w:rPr>
    </w:lvl>
    <w:lvl w:ilvl="1" w:tplc="F7341088">
      <w:start w:val="3"/>
      <w:numFmt w:val="bullet"/>
      <w:lvlText w:val="-"/>
      <w:lvlJc w:val="left"/>
      <w:pPr>
        <w:tabs>
          <w:tab w:val="num" w:pos="1800"/>
        </w:tabs>
        <w:ind w:left="180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A0EC08C6">
      <w:start w:val="1"/>
      <w:numFmt w:val="lowerRoman"/>
      <w:lvlText w:val="%4."/>
      <w:lvlJc w:val="left"/>
      <w:pPr>
        <w:tabs>
          <w:tab w:val="num" w:pos="2700"/>
        </w:tabs>
        <w:ind w:left="2700" w:hanging="18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D6707D"/>
    <w:multiLevelType w:val="multilevel"/>
    <w:tmpl w:val="01F09E02"/>
    <w:lvl w:ilvl="0">
      <w:start w:val="1"/>
      <w:numFmt w:val="decimal"/>
      <w:lvlText w:val="%1."/>
      <w:lvlJc w:val="left"/>
      <w:pPr>
        <w:tabs>
          <w:tab w:val="num" w:pos="567"/>
        </w:tabs>
        <w:ind w:left="567" w:hanging="567"/>
      </w:pPr>
      <w:rPr>
        <w:rFonts w:ascii="Arial Narrow" w:hAnsi="Arial Narrow"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9E5748"/>
    <w:multiLevelType w:val="hybridMultilevel"/>
    <w:tmpl w:val="B2E0E328"/>
    <w:lvl w:ilvl="0" w:tplc="C310E25A">
      <w:start w:val="1"/>
      <w:numFmt w:val="decimal"/>
      <w:lvlText w:val="%1."/>
      <w:lvlJc w:val="left"/>
      <w:pPr>
        <w:tabs>
          <w:tab w:val="num" w:pos="567"/>
        </w:tabs>
        <w:ind w:left="567" w:hanging="567"/>
      </w:pPr>
      <w:rPr>
        <w:rFonts w:ascii="Verdana" w:hAnsi="Verdana"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6C4C05"/>
    <w:multiLevelType w:val="hybridMultilevel"/>
    <w:tmpl w:val="2E10A3B6"/>
    <w:lvl w:ilvl="0" w:tplc="D2DC03E8">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0D"/>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666E4B5F"/>
    <w:multiLevelType w:val="hybridMultilevel"/>
    <w:tmpl w:val="5CD84E76"/>
    <w:lvl w:ilvl="0" w:tplc="37562BE0">
      <w:numFmt w:val="bullet"/>
      <w:lvlText w:val="-"/>
      <w:lvlJc w:val="left"/>
      <w:pPr>
        <w:ind w:left="1287" w:hanging="360"/>
      </w:pPr>
      <w:rPr>
        <w:rFonts w:ascii="Arial Narrow" w:eastAsia="Times New Roman" w:hAnsi="Arial Narrow"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E04558"/>
    <w:multiLevelType w:val="singleLevel"/>
    <w:tmpl w:val="F7341088"/>
    <w:lvl w:ilvl="0">
      <w:start w:val="3"/>
      <w:numFmt w:val="bullet"/>
      <w:lvlText w:val="-"/>
      <w:lvlJc w:val="left"/>
      <w:pPr>
        <w:tabs>
          <w:tab w:val="num" w:pos="2160"/>
        </w:tabs>
        <w:ind w:left="2160" w:hanging="720"/>
      </w:pPr>
      <w:rPr>
        <w:rFonts w:hint="default"/>
      </w:rPr>
    </w:lvl>
  </w:abstractNum>
  <w:abstractNum w:abstractNumId="24" w15:restartNumberingAfterBreak="0">
    <w:nsid w:val="77F53F45"/>
    <w:multiLevelType w:val="hybridMultilevel"/>
    <w:tmpl w:val="0F4AF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C75B79"/>
    <w:multiLevelType w:val="hybridMultilevel"/>
    <w:tmpl w:val="0DC81C98"/>
    <w:lvl w:ilvl="0" w:tplc="B8EA8B56">
      <w:start w:val="1"/>
      <w:numFmt w:val="decimal"/>
      <w:lvlText w:val="%1."/>
      <w:lvlJc w:val="left"/>
      <w:pPr>
        <w:ind w:left="567" w:hanging="567"/>
      </w:pPr>
      <w:rPr>
        <w:rFonts w:ascii="Verdana" w:hAnsi="Verdana" w:hint="default"/>
        <w:b w:val="0"/>
        <w:i w:val="0"/>
        <w:color w:val="auto"/>
        <w:u w:val="none"/>
      </w:rPr>
    </w:lvl>
    <w:lvl w:ilvl="1" w:tplc="F7341088">
      <w:start w:val="3"/>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458AF"/>
    <w:multiLevelType w:val="hybridMultilevel"/>
    <w:tmpl w:val="57D88F50"/>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6"/>
  </w:num>
  <w:num w:numId="5">
    <w:abstractNumId w:val="18"/>
  </w:num>
  <w:num w:numId="6">
    <w:abstractNumId w:val="8"/>
  </w:num>
  <w:num w:numId="7">
    <w:abstractNumId w:val="15"/>
  </w:num>
  <w:num w:numId="8">
    <w:abstractNumId w:val="24"/>
  </w:num>
  <w:num w:numId="9">
    <w:abstractNumId w:val="23"/>
  </w:num>
  <w:num w:numId="10">
    <w:abstractNumId w:val="17"/>
  </w:num>
  <w:num w:numId="11">
    <w:abstractNumId w:val="21"/>
  </w:num>
  <w:num w:numId="12">
    <w:abstractNumId w:val="10"/>
  </w:num>
  <w:num w:numId="13">
    <w:abstractNumId w:val="7"/>
  </w:num>
  <w:num w:numId="14">
    <w:abstractNumId w:val="13"/>
  </w:num>
  <w:num w:numId="15">
    <w:abstractNumId w:val="3"/>
  </w:num>
  <w:num w:numId="16">
    <w:abstractNumId w:val="14"/>
  </w:num>
  <w:num w:numId="17">
    <w:abstractNumId w:val="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20"/>
  </w:num>
  <w:num w:numId="29">
    <w:abstractNumId w:val="2"/>
  </w:num>
  <w:num w:numId="30">
    <w:abstractNumId w:val="4"/>
  </w:num>
  <w:num w:numId="31">
    <w:abstractNumId w:val="26"/>
  </w:num>
  <w:num w:numId="32">
    <w:abstractNumId w:val="1"/>
  </w:num>
  <w:num w:numId="33">
    <w:abstractNumId w:val="5"/>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1"/>
    <w:rsid w:val="0000117D"/>
    <w:rsid w:val="0000455C"/>
    <w:rsid w:val="000045A6"/>
    <w:rsid w:val="00005105"/>
    <w:rsid w:val="00005892"/>
    <w:rsid w:val="00005D07"/>
    <w:rsid w:val="000061CC"/>
    <w:rsid w:val="00006BB4"/>
    <w:rsid w:val="00006CDF"/>
    <w:rsid w:val="00006F11"/>
    <w:rsid w:val="00007230"/>
    <w:rsid w:val="00011022"/>
    <w:rsid w:val="00011586"/>
    <w:rsid w:val="00012B91"/>
    <w:rsid w:val="00012C08"/>
    <w:rsid w:val="00012CBE"/>
    <w:rsid w:val="00013547"/>
    <w:rsid w:val="00013AE5"/>
    <w:rsid w:val="00014BD3"/>
    <w:rsid w:val="000151E2"/>
    <w:rsid w:val="00015422"/>
    <w:rsid w:val="00015ACC"/>
    <w:rsid w:val="000166C9"/>
    <w:rsid w:val="00016C51"/>
    <w:rsid w:val="00017EB9"/>
    <w:rsid w:val="00021882"/>
    <w:rsid w:val="000222B6"/>
    <w:rsid w:val="00023617"/>
    <w:rsid w:val="00024235"/>
    <w:rsid w:val="00024B7D"/>
    <w:rsid w:val="00026CCE"/>
    <w:rsid w:val="0002714C"/>
    <w:rsid w:val="000300BA"/>
    <w:rsid w:val="000312E9"/>
    <w:rsid w:val="00032021"/>
    <w:rsid w:val="0003311C"/>
    <w:rsid w:val="00034811"/>
    <w:rsid w:val="00034F75"/>
    <w:rsid w:val="000350F0"/>
    <w:rsid w:val="00036564"/>
    <w:rsid w:val="00036B39"/>
    <w:rsid w:val="00036EC9"/>
    <w:rsid w:val="00041253"/>
    <w:rsid w:val="00042665"/>
    <w:rsid w:val="00043BA1"/>
    <w:rsid w:val="0004493E"/>
    <w:rsid w:val="00045614"/>
    <w:rsid w:val="00045B90"/>
    <w:rsid w:val="0004620F"/>
    <w:rsid w:val="00046C7B"/>
    <w:rsid w:val="00047E19"/>
    <w:rsid w:val="00051D92"/>
    <w:rsid w:val="00052133"/>
    <w:rsid w:val="000544FE"/>
    <w:rsid w:val="00055889"/>
    <w:rsid w:val="00055A7A"/>
    <w:rsid w:val="00056940"/>
    <w:rsid w:val="00056C87"/>
    <w:rsid w:val="000571A2"/>
    <w:rsid w:val="000578B1"/>
    <w:rsid w:val="00060B58"/>
    <w:rsid w:val="00060F9D"/>
    <w:rsid w:val="00060FD8"/>
    <w:rsid w:val="000611CB"/>
    <w:rsid w:val="000624E7"/>
    <w:rsid w:val="00064115"/>
    <w:rsid w:val="000641CE"/>
    <w:rsid w:val="0006422C"/>
    <w:rsid w:val="00064B78"/>
    <w:rsid w:val="00064BF8"/>
    <w:rsid w:val="00065D76"/>
    <w:rsid w:val="00066405"/>
    <w:rsid w:val="00067089"/>
    <w:rsid w:val="00070095"/>
    <w:rsid w:val="000706A9"/>
    <w:rsid w:val="00070BF7"/>
    <w:rsid w:val="00071F7B"/>
    <w:rsid w:val="00072A0B"/>
    <w:rsid w:val="00072CE1"/>
    <w:rsid w:val="00072F8F"/>
    <w:rsid w:val="000740F2"/>
    <w:rsid w:val="00074537"/>
    <w:rsid w:val="0007464C"/>
    <w:rsid w:val="00074707"/>
    <w:rsid w:val="000754BB"/>
    <w:rsid w:val="00076482"/>
    <w:rsid w:val="0008151A"/>
    <w:rsid w:val="00081632"/>
    <w:rsid w:val="000836F6"/>
    <w:rsid w:val="0008395D"/>
    <w:rsid w:val="00083B3A"/>
    <w:rsid w:val="000846CE"/>
    <w:rsid w:val="00084F1E"/>
    <w:rsid w:val="00084FBF"/>
    <w:rsid w:val="000860DD"/>
    <w:rsid w:val="00087175"/>
    <w:rsid w:val="0008743D"/>
    <w:rsid w:val="00087805"/>
    <w:rsid w:val="00090344"/>
    <w:rsid w:val="00090D34"/>
    <w:rsid w:val="000919C6"/>
    <w:rsid w:val="00091F99"/>
    <w:rsid w:val="0009234F"/>
    <w:rsid w:val="00093DBD"/>
    <w:rsid w:val="00093F6D"/>
    <w:rsid w:val="000948CD"/>
    <w:rsid w:val="0009520A"/>
    <w:rsid w:val="000959A0"/>
    <w:rsid w:val="00095A22"/>
    <w:rsid w:val="00096090"/>
    <w:rsid w:val="00096E49"/>
    <w:rsid w:val="000970CB"/>
    <w:rsid w:val="0009767D"/>
    <w:rsid w:val="000A0AB9"/>
    <w:rsid w:val="000A0C55"/>
    <w:rsid w:val="000A0CCA"/>
    <w:rsid w:val="000A0D75"/>
    <w:rsid w:val="000A1EAA"/>
    <w:rsid w:val="000A207A"/>
    <w:rsid w:val="000A5900"/>
    <w:rsid w:val="000A5A2E"/>
    <w:rsid w:val="000A5B85"/>
    <w:rsid w:val="000A66BB"/>
    <w:rsid w:val="000A6FBC"/>
    <w:rsid w:val="000A720A"/>
    <w:rsid w:val="000A7307"/>
    <w:rsid w:val="000A78FE"/>
    <w:rsid w:val="000B0DB4"/>
    <w:rsid w:val="000B16E0"/>
    <w:rsid w:val="000B185D"/>
    <w:rsid w:val="000B1B89"/>
    <w:rsid w:val="000B2544"/>
    <w:rsid w:val="000B28B0"/>
    <w:rsid w:val="000B3374"/>
    <w:rsid w:val="000B3E63"/>
    <w:rsid w:val="000B4EEB"/>
    <w:rsid w:val="000B512B"/>
    <w:rsid w:val="000B5600"/>
    <w:rsid w:val="000B5F37"/>
    <w:rsid w:val="000B668C"/>
    <w:rsid w:val="000B673D"/>
    <w:rsid w:val="000B67C7"/>
    <w:rsid w:val="000B777D"/>
    <w:rsid w:val="000B7E4F"/>
    <w:rsid w:val="000C04E4"/>
    <w:rsid w:val="000C0757"/>
    <w:rsid w:val="000C08DC"/>
    <w:rsid w:val="000C1291"/>
    <w:rsid w:val="000C17D3"/>
    <w:rsid w:val="000C2D87"/>
    <w:rsid w:val="000C2FD4"/>
    <w:rsid w:val="000C33C5"/>
    <w:rsid w:val="000C4BF8"/>
    <w:rsid w:val="000C7260"/>
    <w:rsid w:val="000C731A"/>
    <w:rsid w:val="000C7B3B"/>
    <w:rsid w:val="000D18ED"/>
    <w:rsid w:val="000D1AFD"/>
    <w:rsid w:val="000D2F2A"/>
    <w:rsid w:val="000D2F84"/>
    <w:rsid w:val="000D2FFC"/>
    <w:rsid w:val="000D350A"/>
    <w:rsid w:val="000D37B1"/>
    <w:rsid w:val="000D4E8C"/>
    <w:rsid w:val="000D4FAF"/>
    <w:rsid w:val="000D5756"/>
    <w:rsid w:val="000D5DCF"/>
    <w:rsid w:val="000D6362"/>
    <w:rsid w:val="000D652A"/>
    <w:rsid w:val="000D766D"/>
    <w:rsid w:val="000D7BD9"/>
    <w:rsid w:val="000E0672"/>
    <w:rsid w:val="000E0BDF"/>
    <w:rsid w:val="000E1385"/>
    <w:rsid w:val="000E2BB8"/>
    <w:rsid w:val="000E47EC"/>
    <w:rsid w:val="000E4F9B"/>
    <w:rsid w:val="000E68C7"/>
    <w:rsid w:val="000E6F3F"/>
    <w:rsid w:val="000F1054"/>
    <w:rsid w:val="000F1459"/>
    <w:rsid w:val="000F198D"/>
    <w:rsid w:val="000F1C29"/>
    <w:rsid w:val="000F1EF3"/>
    <w:rsid w:val="000F233C"/>
    <w:rsid w:val="000F2626"/>
    <w:rsid w:val="000F41F4"/>
    <w:rsid w:val="000F697A"/>
    <w:rsid w:val="00101D07"/>
    <w:rsid w:val="001029D0"/>
    <w:rsid w:val="00102A29"/>
    <w:rsid w:val="00102DC8"/>
    <w:rsid w:val="00103152"/>
    <w:rsid w:val="001035A3"/>
    <w:rsid w:val="00103B8B"/>
    <w:rsid w:val="00103C7F"/>
    <w:rsid w:val="00104BF4"/>
    <w:rsid w:val="00106F4A"/>
    <w:rsid w:val="00107106"/>
    <w:rsid w:val="0010772A"/>
    <w:rsid w:val="00110C81"/>
    <w:rsid w:val="00111326"/>
    <w:rsid w:val="00112354"/>
    <w:rsid w:val="00112520"/>
    <w:rsid w:val="00112BD8"/>
    <w:rsid w:val="001135E8"/>
    <w:rsid w:val="0011608D"/>
    <w:rsid w:val="001161B5"/>
    <w:rsid w:val="001170A8"/>
    <w:rsid w:val="00117727"/>
    <w:rsid w:val="001211F2"/>
    <w:rsid w:val="0012191C"/>
    <w:rsid w:val="00121FEE"/>
    <w:rsid w:val="00122CE5"/>
    <w:rsid w:val="00124E0B"/>
    <w:rsid w:val="00124E90"/>
    <w:rsid w:val="001267A1"/>
    <w:rsid w:val="001268DF"/>
    <w:rsid w:val="001271C3"/>
    <w:rsid w:val="00127365"/>
    <w:rsid w:val="00127612"/>
    <w:rsid w:val="0012783A"/>
    <w:rsid w:val="00127FE5"/>
    <w:rsid w:val="001301D2"/>
    <w:rsid w:val="001307E7"/>
    <w:rsid w:val="001314F3"/>
    <w:rsid w:val="0013244D"/>
    <w:rsid w:val="00132AEF"/>
    <w:rsid w:val="001333C3"/>
    <w:rsid w:val="00133430"/>
    <w:rsid w:val="0013496B"/>
    <w:rsid w:val="00136DF6"/>
    <w:rsid w:val="001378E1"/>
    <w:rsid w:val="00137BB0"/>
    <w:rsid w:val="00137C5B"/>
    <w:rsid w:val="0014130E"/>
    <w:rsid w:val="0014346B"/>
    <w:rsid w:val="00144BBE"/>
    <w:rsid w:val="00145F09"/>
    <w:rsid w:val="00145FB3"/>
    <w:rsid w:val="0014698F"/>
    <w:rsid w:val="00146CEE"/>
    <w:rsid w:val="00146F8B"/>
    <w:rsid w:val="001476FC"/>
    <w:rsid w:val="00147D69"/>
    <w:rsid w:val="00150B20"/>
    <w:rsid w:val="00151375"/>
    <w:rsid w:val="00152FF6"/>
    <w:rsid w:val="00153473"/>
    <w:rsid w:val="00154182"/>
    <w:rsid w:val="001544F0"/>
    <w:rsid w:val="001549C8"/>
    <w:rsid w:val="00154D21"/>
    <w:rsid w:val="00156033"/>
    <w:rsid w:val="00156D53"/>
    <w:rsid w:val="00157C58"/>
    <w:rsid w:val="0016010E"/>
    <w:rsid w:val="00160AD2"/>
    <w:rsid w:val="00161D02"/>
    <w:rsid w:val="001620F4"/>
    <w:rsid w:val="001625E0"/>
    <w:rsid w:val="0016294D"/>
    <w:rsid w:val="00163DF8"/>
    <w:rsid w:val="00166ACA"/>
    <w:rsid w:val="00166D47"/>
    <w:rsid w:val="00167161"/>
    <w:rsid w:val="0017061A"/>
    <w:rsid w:val="001708F2"/>
    <w:rsid w:val="00170983"/>
    <w:rsid w:val="00170FCE"/>
    <w:rsid w:val="00171DCF"/>
    <w:rsid w:val="00172E4A"/>
    <w:rsid w:val="00174C7C"/>
    <w:rsid w:val="00176686"/>
    <w:rsid w:val="00181B13"/>
    <w:rsid w:val="00181D2A"/>
    <w:rsid w:val="001820BD"/>
    <w:rsid w:val="001820D7"/>
    <w:rsid w:val="001837BA"/>
    <w:rsid w:val="00183B76"/>
    <w:rsid w:val="00183EF1"/>
    <w:rsid w:val="001843B0"/>
    <w:rsid w:val="00184551"/>
    <w:rsid w:val="00184D94"/>
    <w:rsid w:val="00184E1E"/>
    <w:rsid w:val="0018551F"/>
    <w:rsid w:val="001876B5"/>
    <w:rsid w:val="001914CC"/>
    <w:rsid w:val="00192498"/>
    <w:rsid w:val="001924F0"/>
    <w:rsid w:val="00192571"/>
    <w:rsid w:val="00192707"/>
    <w:rsid w:val="0019317A"/>
    <w:rsid w:val="00193742"/>
    <w:rsid w:val="00193FC7"/>
    <w:rsid w:val="00194BC9"/>
    <w:rsid w:val="00194E3B"/>
    <w:rsid w:val="00195212"/>
    <w:rsid w:val="00195615"/>
    <w:rsid w:val="001958A8"/>
    <w:rsid w:val="00197379"/>
    <w:rsid w:val="001A0430"/>
    <w:rsid w:val="001A0B95"/>
    <w:rsid w:val="001A0D1D"/>
    <w:rsid w:val="001A12B0"/>
    <w:rsid w:val="001A1870"/>
    <w:rsid w:val="001A29AD"/>
    <w:rsid w:val="001A2CAA"/>
    <w:rsid w:val="001A2D83"/>
    <w:rsid w:val="001A43E7"/>
    <w:rsid w:val="001A521C"/>
    <w:rsid w:val="001A5442"/>
    <w:rsid w:val="001A67FC"/>
    <w:rsid w:val="001A68E2"/>
    <w:rsid w:val="001A73BA"/>
    <w:rsid w:val="001B1081"/>
    <w:rsid w:val="001B138C"/>
    <w:rsid w:val="001B1E7C"/>
    <w:rsid w:val="001B22AF"/>
    <w:rsid w:val="001B2616"/>
    <w:rsid w:val="001B2D97"/>
    <w:rsid w:val="001B4A83"/>
    <w:rsid w:val="001B4D6E"/>
    <w:rsid w:val="001B62E5"/>
    <w:rsid w:val="001B6A1D"/>
    <w:rsid w:val="001B6B13"/>
    <w:rsid w:val="001C067D"/>
    <w:rsid w:val="001C1940"/>
    <w:rsid w:val="001C1D2D"/>
    <w:rsid w:val="001C4FAA"/>
    <w:rsid w:val="001C645B"/>
    <w:rsid w:val="001C675D"/>
    <w:rsid w:val="001C680E"/>
    <w:rsid w:val="001C6815"/>
    <w:rsid w:val="001C7DF9"/>
    <w:rsid w:val="001D07E8"/>
    <w:rsid w:val="001D1349"/>
    <w:rsid w:val="001D188D"/>
    <w:rsid w:val="001D24D5"/>
    <w:rsid w:val="001D31D6"/>
    <w:rsid w:val="001D325B"/>
    <w:rsid w:val="001D53F3"/>
    <w:rsid w:val="001D7842"/>
    <w:rsid w:val="001D7E75"/>
    <w:rsid w:val="001D7FFC"/>
    <w:rsid w:val="001E01A2"/>
    <w:rsid w:val="001E04BF"/>
    <w:rsid w:val="001E0A3E"/>
    <w:rsid w:val="001E310F"/>
    <w:rsid w:val="001E3150"/>
    <w:rsid w:val="001E3792"/>
    <w:rsid w:val="001E43BE"/>
    <w:rsid w:val="001E4646"/>
    <w:rsid w:val="001E5B9F"/>
    <w:rsid w:val="001E6DF9"/>
    <w:rsid w:val="001E7AD6"/>
    <w:rsid w:val="001E7B1F"/>
    <w:rsid w:val="001F0243"/>
    <w:rsid w:val="001F0E23"/>
    <w:rsid w:val="001F33BB"/>
    <w:rsid w:val="001F4CAE"/>
    <w:rsid w:val="001F5636"/>
    <w:rsid w:val="001F568D"/>
    <w:rsid w:val="001F5BB7"/>
    <w:rsid w:val="001F5DDB"/>
    <w:rsid w:val="001F7A85"/>
    <w:rsid w:val="001F7AEF"/>
    <w:rsid w:val="00200427"/>
    <w:rsid w:val="0020079A"/>
    <w:rsid w:val="00203748"/>
    <w:rsid w:val="0020522C"/>
    <w:rsid w:val="002052CC"/>
    <w:rsid w:val="00205455"/>
    <w:rsid w:val="002059F0"/>
    <w:rsid w:val="00205A97"/>
    <w:rsid w:val="002075C0"/>
    <w:rsid w:val="00207C5E"/>
    <w:rsid w:val="002103F9"/>
    <w:rsid w:val="00210E28"/>
    <w:rsid w:val="00210EC4"/>
    <w:rsid w:val="00211403"/>
    <w:rsid w:val="002129A5"/>
    <w:rsid w:val="00212E9A"/>
    <w:rsid w:val="00213414"/>
    <w:rsid w:val="00214A78"/>
    <w:rsid w:val="002150A7"/>
    <w:rsid w:val="00215A38"/>
    <w:rsid w:val="0021620C"/>
    <w:rsid w:val="00216604"/>
    <w:rsid w:val="00216AEF"/>
    <w:rsid w:val="00217B2A"/>
    <w:rsid w:val="00217F62"/>
    <w:rsid w:val="00221E83"/>
    <w:rsid w:val="00221E96"/>
    <w:rsid w:val="00224E68"/>
    <w:rsid w:val="00224E99"/>
    <w:rsid w:val="002261BD"/>
    <w:rsid w:val="00227336"/>
    <w:rsid w:val="00227CFF"/>
    <w:rsid w:val="00230398"/>
    <w:rsid w:val="00230611"/>
    <w:rsid w:val="00232FC1"/>
    <w:rsid w:val="00234760"/>
    <w:rsid w:val="00234C33"/>
    <w:rsid w:val="00234EF2"/>
    <w:rsid w:val="002353EC"/>
    <w:rsid w:val="00235A31"/>
    <w:rsid w:val="00235BD9"/>
    <w:rsid w:val="00236EEC"/>
    <w:rsid w:val="00237123"/>
    <w:rsid w:val="002374FF"/>
    <w:rsid w:val="002376B4"/>
    <w:rsid w:val="002411FB"/>
    <w:rsid w:val="00242CED"/>
    <w:rsid w:val="0024390F"/>
    <w:rsid w:val="00245432"/>
    <w:rsid w:val="0024615F"/>
    <w:rsid w:val="002469C2"/>
    <w:rsid w:val="00250A3B"/>
    <w:rsid w:val="00251AA8"/>
    <w:rsid w:val="002548C2"/>
    <w:rsid w:val="00254CB1"/>
    <w:rsid w:val="00255BCC"/>
    <w:rsid w:val="002565C1"/>
    <w:rsid w:val="00256A40"/>
    <w:rsid w:val="002573CE"/>
    <w:rsid w:val="00257753"/>
    <w:rsid w:val="00257CC0"/>
    <w:rsid w:val="00257D6E"/>
    <w:rsid w:val="002606AE"/>
    <w:rsid w:val="0026081A"/>
    <w:rsid w:val="00260BEA"/>
    <w:rsid w:val="0026136B"/>
    <w:rsid w:val="0026162E"/>
    <w:rsid w:val="00262022"/>
    <w:rsid w:val="0026262F"/>
    <w:rsid w:val="0026328B"/>
    <w:rsid w:val="0026353A"/>
    <w:rsid w:val="00263D7D"/>
    <w:rsid w:val="002651F0"/>
    <w:rsid w:val="002656E8"/>
    <w:rsid w:val="00265BA3"/>
    <w:rsid w:val="00265CC3"/>
    <w:rsid w:val="00265E0D"/>
    <w:rsid w:val="00266ACE"/>
    <w:rsid w:val="00266BAB"/>
    <w:rsid w:val="00267B55"/>
    <w:rsid w:val="00270FA4"/>
    <w:rsid w:val="0027112A"/>
    <w:rsid w:val="002719BC"/>
    <w:rsid w:val="00271AD0"/>
    <w:rsid w:val="00272032"/>
    <w:rsid w:val="002720F2"/>
    <w:rsid w:val="00272E92"/>
    <w:rsid w:val="0027316D"/>
    <w:rsid w:val="002731E3"/>
    <w:rsid w:val="002737B9"/>
    <w:rsid w:val="00273F22"/>
    <w:rsid w:val="0027471A"/>
    <w:rsid w:val="00274D36"/>
    <w:rsid w:val="00274F85"/>
    <w:rsid w:val="00275520"/>
    <w:rsid w:val="00275766"/>
    <w:rsid w:val="002764F5"/>
    <w:rsid w:val="002774E2"/>
    <w:rsid w:val="002775B2"/>
    <w:rsid w:val="0028086A"/>
    <w:rsid w:val="00280EBE"/>
    <w:rsid w:val="00280F14"/>
    <w:rsid w:val="00281D29"/>
    <w:rsid w:val="0028241B"/>
    <w:rsid w:val="00282949"/>
    <w:rsid w:val="002829E2"/>
    <w:rsid w:val="002838E1"/>
    <w:rsid w:val="0028422C"/>
    <w:rsid w:val="00284A8B"/>
    <w:rsid w:val="00285742"/>
    <w:rsid w:val="00290188"/>
    <w:rsid w:val="002902B6"/>
    <w:rsid w:val="002904B6"/>
    <w:rsid w:val="002904BC"/>
    <w:rsid w:val="002920EF"/>
    <w:rsid w:val="002927C5"/>
    <w:rsid w:val="00293461"/>
    <w:rsid w:val="00294080"/>
    <w:rsid w:val="002948AE"/>
    <w:rsid w:val="00294A68"/>
    <w:rsid w:val="00295532"/>
    <w:rsid w:val="002961F7"/>
    <w:rsid w:val="002976CA"/>
    <w:rsid w:val="002A0897"/>
    <w:rsid w:val="002A0D22"/>
    <w:rsid w:val="002A1369"/>
    <w:rsid w:val="002A2B46"/>
    <w:rsid w:val="002A3227"/>
    <w:rsid w:val="002A49CF"/>
    <w:rsid w:val="002A52B0"/>
    <w:rsid w:val="002A5C06"/>
    <w:rsid w:val="002A7F10"/>
    <w:rsid w:val="002B0836"/>
    <w:rsid w:val="002B0908"/>
    <w:rsid w:val="002B0B2E"/>
    <w:rsid w:val="002B2D6D"/>
    <w:rsid w:val="002B44BB"/>
    <w:rsid w:val="002B55D0"/>
    <w:rsid w:val="002B5F1C"/>
    <w:rsid w:val="002B6C03"/>
    <w:rsid w:val="002B6DED"/>
    <w:rsid w:val="002B7957"/>
    <w:rsid w:val="002B7990"/>
    <w:rsid w:val="002B7CC8"/>
    <w:rsid w:val="002C037B"/>
    <w:rsid w:val="002C0934"/>
    <w:rsid w:val="002C0CD0"/>
    <w:rsid w:val="002C1358"/>
    <w:rsid w:val="002C15EC"/>
    <w:rsid w:val="002C2E34"/>
    <w:rsid w:val="002C38B0"/>
    <w:rsid w:val="002C490E"/>
    <w:rsid w:val="002C544A"/>
    <w:rsid w:val="002C5ACF"/>
    <w:rsid w:val="002C6643"/>
    <w:rsid w:val="002C7489"/>
    <w:rsid w:val="002D03F1"/>
    <w:rsid w:val="002D0AC7"/>
    <w:rsid w:val="002D224D"/>
    <w:rsid w:val="002D4556"/>
    <w:rsid w:val="002D4871"/>
    <w:rsid w:val="002D5976"/>
    <w:rsid w:val="002D5F6B"/>
    <w:rsid w:val="002D74D0"/>
    <w:rsid w:val="002D7629"/>
    <w:rsid w:val="002E0B24"/>
    <w:rsid w:val="002E1814"/>
    <w:rsid w:val="002E19C3"/>
    <w:rsid w:val="002E1DB9"/>
    <w:rsid w:val="002E2AEC"/>
    <w:rsid w:val="002E3BD4"/>
    <w:rsid w:val="002E51E8"/>
    <w:rsid w:val="002E55FD"/>
    <w:rsid w:val="002E5A52"/>
    <w:rsid w:val="002E5E91"/>
    <w:rsid w:val="002E6599"/>
    <w:rsid w:val="002E694C"/>
    <w:rsid w:val="002E707B"/>
    <w:rsid w:val="002E7893"/>
    <w:rsid w:val="002E7EFA"/>
    <w:rsid w:val="002E7FEB"/>
    <w:rsid w:val="002F0032"/>
    <w:rsid w:val="002F0EAA"/>
    <w:rsid w:val="002F16AE"/>
    <w:rsid w:val="002F2087"/>
    <w:rsid w:val="002F2CD7"/>
    <w:rsid w:val="002F350D"/>
    <w:rsid w:val="002F3FBA"/>
    <w:rsid w:val="002F4298"/>
    <w:rsid w:val="002F59B3"/>
    <w:rsid w:val="002F70E8"/>
    <w:rsid w:val="003012EC"/>
    <w:rsid w:val="00303055"/>
    <w:rsid w:val="0030311F"/>
    <w:rsid w:val="003036A7"/>
    <w:rsid w:val="003040DA"/>
    <w:rsid w:val="0030472D"/>
    <w:rsid w:val="00304A39"/>
    <w:rsid w:val="0030530E"/>
    <w:rsid w:val="00305FF5"/>
    <w:rsid w:val="00306066"/>
    <w:rsid w:val="00306463"/>
    <w:rsid w:val="0030703B"/>
    <w:rsid w:val="003106DE"/>
    <w:rsid w:val="00310BE6"/>
    <w:rsid w:val="00311DEA"/>
    <w:rsid w:val="00312A2B"/>
    <w:rsid w:val="00312BBD"/>
    <w:rsid w:val="00313390"/>
    <w:rsid w:val="00313720"/>
    <w:rsid w:val="00314F53"/>
    <w:rsid w:val="003152D6"/>
    <w:rsid w:val="00315CD0"/>
    <w:rsid w:val="0031707A"/>
    <w:rsid w:val="003205A5"/>
    <w:rsid w:val="00320A95"/>
    <w:rsid w:val="00321166"/>
    <w:rsid w:val="00321FC6"/>
    <w:rsid w:val="00322360"/>
    <w:rsid w:val="00322AE9"/>
    <w:rsid w:val="0032498B"/>
    <w:rsid w:val="0032626B"/>
    <w:rsid w:val="003265A7"/>
    <w:rsid w:val="00330EE9"/>
    <w:rsid w:val="00331257"/>
    <w:rsid w:val="0033245E"/>
    <w:rsid w:val="0033278F"/>
    <w:rsid w:val="0033350B"/>
    <w:rsid w:val="0033379D"/>
    <w:rsid w:val="00333B99"/>
    <w:rsid w:val="003341D3"/>
    <w:rsid w:val="003347E0"/>
    <w:rsid w:val="00334B36"/>
    <w:rsid w:val="00334C9F"/>
    <w:rsid w:val="00335840"/>
    <w:rsid w:val="00337ED4"/>
    <w:rsid w:val="00340FC8"/>
    <w:rsid w:val="0034113C"/>
    <w:rsid w:val="0034120E"/>
    <w:rsid w:val="00341A12"/>
    <w:rsid w:val="003423B0"/>
    <w:rsid w:val="00343D7B"/>
    <w:rsid w:val="00344037"/>
    <w:rsid w:val="00344411"/>
    <w:rsid w:val="0034468E"/>
    <w:rsid w:val="00344A59"/>
    <w:rsid w:val="003453CD"/>
    <w:rsid w:val="003469C3"/>
    <w:rsid w:val="003478BE"/>
    <w:rsid w:val="00347F36"/>
    <w:rsid w:val="00350046"/>
    <w:rsid w:val="00350536"/>
    <w:rsid w:val="00350558"/>
    <w:rsid w:val="00350CA7"/>
    <w:rsid w:val="0035143B"/>
    <w:rsid w:val="00352406"/>
    <w:rsid w:val="003535A1"/>
    <w:rsid w:val="003550F0"/>
    <w:rsid w:val="00355E50"/>
    <w:rsid w:val="003561B5"/>
    <w:rsid w:val="00356775"/>
    <w:rsid w:val="00357129"/>
    <w:rsid w:val="00357F67"/>
    <w:rsid w:val="003619E7"/>
    <w:rsid w:val="00362099"/>
    <w:rsid w:val="00364933"/>
    <w:rsid w:val="003654D6"/>
    <w:rsid w:val="003666D8"/>
    <w:rsid w:val="00366BFB"/>
    <w:rsid w:val="00367043"/>
    <w:rsid w:val="00367926"/>
    <w:rsid w:val="00367E41"/>
    <w:rsid w:val="00370074"/>
    <w:rsid w:val="00371480"/>
    <w:rsid w:val="0037196E"/>
    <w:rsid w:val="00371A70"/>
    <w:rsid w:val="00372DAB"/>
    <w:rsid w:val="0037352C"/>
    <w:rsid w:val="0037373F"/>
    <w:rsid w:val="00373BEA"/>
    <w:rsid w:val="00374138"/>
    <w:rsid w:val="0037458C"/>
    <w:rsid w:val="00374AF2"/>
    <w:rsid w:val="00377635"/>
    <w:rsid w:val="00380C9A"/>
    <w:rsid w:val="00381E3A"/>
    <w:rsid w:val="0038227B"/>
    <w:rsid w:val="00382A3A"/>
    <w:rsid w:val="00382A67"/>
    <w:rsid w:val="0038404F"/>
    <w:rsid w:val="00384588"/>
    <w:rsid w:val="00384B13"/>
    <w:rsid w:val="00385940"/>
    <w:rsid w:val="0038635A"/>
    <w:rsid w:val="00390594"/>
    <w:rsid w:val="0039217D"/>
    <w:rsid w:val="00392A39"/>
    <w:rsid w:val="003931CC"/>
    <w:rsid w:val="00393C4C"/>
    <w:rsid w:val="00394CD1"/>
    <w:rsid w:val="00396652"/>
    <w:rsid w:val="00396668"/>
    <w:rsid w:val="003975A3"/>
    <w:rsid w:val="003A00FD"/>
    <w:rsid w:val="003A2237"/>
    <w:rsid w:val="003A2C97"/>
    <w:rsid w:val="003A4FAD"/>
    <w:rsid w:val="003A53D4"/>
    <w:rsid w:val="003A5E3B"/>
    <w:rsid w:val="003A6483"/>
    <w:rsid w:val="003A659F"/>
    <w:rsid w:val="003A76E8"/>
    <w:rsid w:val="003A7A5F"/>
    <w:rsid w:val="003A7B94"/>
    <w:rsid w:val="003B00B6"/>
    <w:rsid w:val="003B1095"/>
    <w:rsid w:val="003B530A"/>
    <w:rsid w:val="003B6FEB"/>
    <w:rsid w:val="003B72D5"/>
    <w:rsid w:val="003C0215"/>
    <w:rsid w:val="003C021A"/>
    <w:rsid w:val="003C0CE8"/>
    <w:rsid w:val="003C28C5"/>
    <w:rsid w:val="003C2F76"/>
    <w:rsid w:val="003C38B0"/>
    <w:rsid w:val="003C3D36"/>
    <w:rsid w:val="003C3E18"/>
    <w:rsid w:val="003C4538"/>
    <w:rsid w:val="003C482D"/>
    <w:rsid w:val="003C4F91"/>
    <w:rsid w:val="003C5672"/>
    <w:rsid w:val="003C699F"/>
    <w:rsid w:val="003C7F84"/>
    <w:rsid w:val="003D12AC"/>
    <w:rsid w:val="003D17FD"/>
    <w:rsid w:val="003D1BA2"/>
    <w:rsid w:val="003D1F59"/>
    <w:rsid w:val="003D2468"/>
    <w:rsid w:val="003D260E"/>
    <w:rsid w:val="003D2E7F"/>
    <w:rsid w:val="003D36AD"/>
    <w:rsid w:val="003D4038"/>
    <w:rsid w:val="003D7123"/>
    <w:rsid w:val="003E1AA2"/>
    <w:rsid w:val="003E490C"/>
    <w:rsid w:val="003E5CA4"/>
    <w:rsid w:val="003E6DCA"/>
    <w:rsid w:val="003E7167"/>
    <w:rsid w:val="003E75D8"/>
    <w:rsid w:val="003F0277"/>
    <w:rsid w:val="003F0EF8"/>
    <w:rsid w:val="003F1BD2"/>
    <w:rsid w:val="003F2620"/>
    <w:rsid w:val="003F2858"/>
    <w:rsid w:val="003F2C64"/>
    <w:rsid w:val="003F323F"/>
    <w:rsid w:val="003F3BD3"/>
    <w:rsid w:val="003F402D"/>
    <w:rsid w:val="003F618B"/>
    <w:rsid w:val="003F6CCD"/>
    <w:rsid w:val="003F7201"/>
    <w:rsid w:val="00401645"/>
    <w:rsid w:val="004026A8"/>
    <w:rsid w:val="004028B2"/>
    <w:rsid w:val="00403103"/>
    <w:rsid w:val="004041F1"/>
    <w:rsid w:val="004053FA"/>
    <w:rsid w:val="00405E84"/>
    <w:rsid w:val="00406BC5"/>
    <w:rsid w:val="00411183"/>
    <w:rsid w:val="004111F9"/>
    <w:rsid w:val="00412782"/>
    <w:rsid w:val="00413A14"/>
    <w:rsid w:val="00413F9B"/>
    <w:rsid w:val="00414066"/>
    <w:rsid w:val="00414E33"/>
    <w:rsid w:val="004153C2"/>
    <w:rsid w:val="0041550A"/>
    <w:rsid w:val="0041738D"/>
    <w:rsid w:val="00417CAD"/>
    <w:rsid w:val="00417E72"/>
    <w:rsid w:val="004203BD"/>
    <w:rsid w:val="00422140"/>
    <w:rsid w:val="00423513"/>
    <w:rsid w:val="004260C3"/>
    <w:rsid w:val="00427B17"/>
    <w:rsid w:val="00427F57"/>
    <w:rsid w:val="004302C4"/>
    <w:rsid w:val="00430CB7"/>
    <w:rsid w:val="004310E1"/>
    <w:rsid w:val="00432456"/>
    <w:rsid w:val="0043246B"/>
    <w:rsid w:val="00432C3D"/>
    <w:rsid w:val="004330D1"/>
    <w:rsid w:val="0043417A"/>
    <w:rsid w:val="004343A7"/>
    <w:rsid w:val="00436683"/>
    <w:rsid w:val="004376B6"/>
    <w:rsid w:val="00441B41"/>
    <w:rsid w:val="004473C0"/>
    <w:rsid w:val="004519B1"/>
    <w:rsid w:val="00451A70"/>
    <w:rsid w:val="00452E09"/>
    <w:rsid w:val="00452E50"/>
    <w:rsid w:val="00453118"/>
    <w:rsid w:val="004550A7"/>
    <w:rsid w:val="00456828"/>
    <w:rsid w:val="00457063"/>
    <w:rsid w:val="00460F09"/>
    <w:rsid w:val="00461396"/>
    <w:rsid w:val="0046147E"/>
    <w:rsid w:val="004615EC"/>
    <w:rsid w:val="004618ED"/>
    <w:rsid w:val="00461E38"/>
    <w:rsid w:val="00462E0A"/>
    <w:rsid w:val="00463774"/>
    <w:rsid w:val="00464438"/>
    <w:rsid w:val="00464B23"/>
    <w:rsid w:val="00464B37"/>
    <w:rsid w:val="00464EE6"/>
    <w:rsid w:val="004654A1"/>
    <w:rsid w:val="00466425"/>
    <w:rsid w:val="004674E5"/>
    <w:rsid w:val="0047030B"/>
    <w:rsid w:val="00470E78"/>
    <w:rsid w:val="004739D8"/>
    <w:rsid w:val="00474D2E"/>
    <w:rsid w:val="00475A45"/>
    <w:rsid w:val="00481644"/>
    <w:rsid w:val="004818C5"/>
    <w:rsid w:val="00482502"/>
    <w:rsid w:val="00484915"/>
    <w:rsid w:val="004855CD"/>
    <w:rsid w:val="004860B9"/>
    <w:rsid w:val="00487943"/>
    <w:rsid w:val="0049091A"/>
    <w:rsid w:val="0049109D"/>
    <w:rsid w:val="00491FB7"/>
    <w:rsid w:val="00492573"/>
    <w:rsid w:val="00492869"/>
    <w:rsid w:val="00492D24"/>
    <w:rsid w:val="00492FA7"/>
    <w:rsid w:val="00493158"/>
    <w:rsid w:val="00493396"/>
    <w:rsid w:val="00493555"/>
    <w:rsid w:val="004955B8"/>
    <w:rsid w:val="0049615C"/>
    <w:rsid w:val="004969CF"/>
    <w:rsid w:val="00496AE4"/>
    <w:rsid w:val="0049783C"/>
    <w:rsid w:val="00497AD2"/>
    <w:rsid w:val="00497FA5"/>
    <w:rsid w:val="004A09DC"/>
    <w:rsid w:val="004A0A32"/>
    <w:rsid w:val="004A1970"/>
    <w:rsid w:val="004A224D"/>
    <w:rsid w:val="004A2250"/>
    <w:rsid w:val="004A291E"/>
    <w:rsid w:val="004A2E9B"/>
    <w:rsid w:val="004A51AC"/>
    <w:rsid w:val="004A54E7"/>
    <w:rsid w:val="004A61CE"/>
    <w:rsid w:val="004A6D4A"/>
    <w:rsid w:val="004A7C01"/>
    <w:rsid w:val="004B38DE"/>
    <w:rsid w:val="004B3BFC"/>
    <w:rsid w:val="004B4381"/>
    <w:rsid w:val="004B55C5"/>
    <w:rsid w:val="004B6B96"/>
    <w:rsid w:val="004B6FA1"/>
    <w:rsid w:val="004B7838"/>
    <w:rsid w:val="004B7B23"/>
    <w:rsid w:val="004B7D12"/>
    <w:rsid w:val="004B7D40"/>
    <w:rsid w:val="004C0C58"/>
    <w:rsid w:val="004C1315"/>
    <w:rsid w:val="004C2D99"/>
    <w:rsid w:val="004C2E60"/>
    <w:rsid w:val="004C2F3D"/>
    <w:rsid w:val="004C3BF2"/>
    <w:rsid w:val="004C4328"/>
    <w:rsid w:val="004C4562"/>
    <w:rsid w:val="004C4738"/>
    <w:rsid w:val="004C56D2"/>
    <w:rsid w:val="004C5DE3"/>
    <w:rsid w:val="004C6E6B"/>
    <w:rsid w:val="004C7AB4"/>
    <w:rsid w:val="004C7AE5"/>
    <w:rsid w:val="004D0135"/>
    <w:rsid w:val="004D23F6"/>
    <w:rsid w:val="004D3331"/>
    <w:rsid w:val="004D3406"/>
    <w:rsid w:val="004D3AFC"/>
    <w:rsid w:val="004D5CEB"/>
    <w:rsid w:val="004D6195"/>
    <w:rsid w:val="004D6896"/>
    <w:rsid w:val="004E0170"/>
    <w:rsid w:val="004E0D6D"/>
    <w:rsid w:val="004E1885"/>
    <w:rsid w:val="004E2BF8"/>
    <w:rsid w:val="004E39A5"/>
    <w:rsid w:val="004E3B1B"/>
    <w:rsid w:val="004E65E1"/>
    <w:rsid w:val="004E6F33"/>
    <w:rsid w:val="004E6F8C"/>
    <w:rsid w:val="004F1DE4"/>
    <w:rsid w:val="004F2A39"/>
    <w:rsid w:val="004F2D43"/>
    <w:rsid w:val="004F40AF"/>
    <w:rsid w:val="004F489A"/>
    <w:rsid w:val="004F675C"/>
    <w:rsid w:val="00500094"/>
    <w:rsid w:val="005007A1"/>
    <w:rsid w:val="005028E0"/>
    <w:rsid w:val="005029FC"/>
    <w:rsid w:val="00503AC9"/>
    <w:rsid w:val="00504FF0"/>
    <w:rsid w:val="00507244"/>
    <w:rsid w:val="00507826"/>
    <w:rsid w:val="00510AE1"/>
    <w:rsid w:val="0051113A"/>
    <w:rsid w:val="00512B22"/>
    <w:rsid w:val="005140EA"/>
    <w:rsid w:val="0051442B"/>
    <w:rsid w:val="0051487D"/>
    <w:rsid w:val="00515AC2"/>
    <w:rsid w:val="00516E0F"/>
    <w:rsid w:val="005208D7"/>
    <w:rsid w:val="00521A57"/>
    <w:rsid w:val="00521CFF"/>
    <w:rsid w:val="005228C8"/>
    <w:rsid w:val="0052404C"/>
    <w:rsid w:val="005241C6"/>
    <w:rsid w:val="0052592A"/>
    <w:rsid w:val="00526D1B"/>
    <w:rsid w:val="005270B5"/>
    <w:rsid w:val="00530CCE"/>
    <w:rsid w:val="0053141E"/>
    <w:rsid w:val="005316D7"/>
    <w:rsid w:val="00531A45"/>
    <w:rsid w:val="00531FF7"/>
    <w:rsid w:val="00533F18"/>
    <w:rsid w:val="00534C40"/>
    <w:rsid w:val="00535C8A"/>
    <w:rsid w:val="00535E62"/>
    <w:rsid w:val="00536272"/>
    <w:rsid w:val="005362E9"/>
    <w:rsid w:val="00536BAE"/>
    <w:rsid w:val="005374E1"/>
    <w:rsid w:val="00540071"/>
    <w:rsid w:val="0054077F"/>
    <w:rsid w:val="0054107B"/>
    <w:rsid w:val="005429CC"/>
    <w:rsid w:val="00544C10"/>
    <w:rsid w:val="00545CC2"/>
    <w:rsid w:val="00553FAC"/>
    <w:rsid w:val="005555D9"/>
    <w:rsid w:val="005570D3"/>
    <w:rsid w:val="0055764A"/>
    <w:rsid w:val="00557D64"/>
    <w:rsid w:val="0056166D"/>
    <w:rsid w:val="00561E23"/>
    <w:rsid w:val="00563186"/>
    <w:rsid w:val="00563364"/>
    <w:rsid w:val="0056371C"/>
    <w:rsid w:val="00564A8E"/>
    <w:rsid w:val="00565FC6"/>
    <w:rsid w:val="00566112"/>
    <w:rsid w:val="00566A96"/>
    <w:rsid w:val="00570155"/>
    <w:rsid w:val="00570DAA"/>
    <w:rsid w:val="005710C6"/>
    <w:rsid w:val="0057164F"/>
    <w:rsid w:val="00571FB6"/>
    <w:rsid w:val="0057330F"/>
    <w:rsid w:val="005735B8"/>
    <w:rsid w:val="0057498C"/>
    <w:rsid w:val="00575590"/>
    <w:rsid w:val="0057566A"/>
    <w:rsid w:val="005767F5"/>
    <w:rsid w:val="005778E6"/>
    <w:rsid w:val="005779DD"/>
    <w:rsid w:val="00580194"/>
    <w:rsid w:val="00580BAD"/>
    <w:rsid w:val="00583318"/>
    <w:rsid w:val="00585660"/>
    <w:rsid w:val="005856AD"/>
    <w:rsid w:val="0058590D"/>
    <w:rsid w:val="005862F8"/>
    <w:rsid w:val="00587437"/>
    <w:rsid w:val="00590E55"/>
    <w:rsid w:val="0059179C"/>
    <w:rsid w:val="00591B43"/>
    <w:rsid w:val="00591EAA"/>
    <w:rsid w:val="0059227B"/>
    <w:rsid w:val="005924AD"/>
    <w:rsid w:val="00594DC0"/>
    <w:rsid w:val="00595AC2"/>
    <w:rsid w:val="00596291"/>
    <w:rsid w:val="00596713"/>
    <w:rsid w:val="00596FC3"/>
    <w:rsid w:val="005A02B8"/>
    <w:rsid w:val="005A1264"/>
    <w:rsid w:val="005A1AC5"/>
    <w:rsid w:val="005A390F"/>
    <w:rsid w:val="005A3957"/>
    <w:rsid w:val="005A4121"/>
    <w:rsid w:val="005A461A"/>
    <w:rsid w:val="005A4832"/>
    <w:rsid w:val="005A5638"/>
    <w:rsid w:val="005A5A0A"/>
    <w:rsid w:val="005A62A4"/>
    <w:rsid w:val="005A6DAF"/>
    <w:rsid w:val="005A7556"/>
    <w:rsid w:val="005B01F3"/>
    <w:rsid w:val="005B0458"/>
    <w:rsid w:val="005B2150"/>
    <w:rsid w:val="005B269E"/>
    <w:rsid w:val="005B3724"/>
    <w:rsid w:val="005B415E"/>
    <w:rsid w:val="005B47BE"/>
    <w:rsid w:val="005B4FD6"/>
    <w:rsid w:val="005B55C3"/>
    <w:rsid w:val="005B6C67"/>
    <w:rsid w:val="005B7755"/>
    <w:rsid w:val="005B7F42"/>
    <w:rsid w:val="005C006E"/>
    <w:rsid w:val="005C4B1E"/>
    <w:rsid w:val="005C7281"/>
    <w:rsid w:val="005C7C0A"/>
    <w:rsid w:val="005D0353"/>
    <w:rsid w:val="005D0652"/>
    <w:rsid w:val="005D079F"/>
    <w:rsid w:val="005D0FCE"/>
    <w:rsid w:val="005D107A"/>
    <w:rsid w:val="005D1C5B"/>
    <w:rsid w:val="005D376F"/>
    <w:rsid w:val="005D37EA"/>
    <w:rsid w:val="005D3E91"/>
    <w:rsid w:val="005D4981"/>
    <w:rsid w:val="005D5158"/>
    <w:rsid w:val="005D5CB4"/>
    <w:rsid w:val="005D68E1"/>
    <w:rsid w:val="005D7A9E"/>
    <w:rsid w:val="005D7B5F"/>
    <w:rsid w:val="005E1413"/>
    <w:rsid w:val="005E249E"/>
    <w:rsid w:val="005E27C1"/>
    <w:rsid w:val="005E29F7"/>
    <w:rsid w:val="005E4800"/>
    <w:rsid w:val="005E4F21"/>
    <w:rsid w:val="005E6630"/>
    <w:rsid w:val="005E6C30"/>
    <w:rsid w:val="005E7778"/>
    <w:rsid w:val="005F077F"/>
    <w:rsid w:val="005F086D"/>
    <w:rsid w:val="005F2546"/>
    <w:rsid w:val="005F2568"/>
    <w:rsid w:val="005F4213"/>
    <w:rsid w:val="005F5564"/>
    <w:rsid w:val="005F7892"/>
    <w:rsid w:val="00600FAD"/>
    <w:rsid w:val="0060108F"/>
    <w:rsid w:val="0060126C"/>
    <w:rsid w:val="00601957"/>
    <w:rsid w:val="00602130"/>
    <w:rsid w:val="00602322"/>
    <w:rsid w:val="00602618"/>
    <w:rsid w:val="00610E89"/>
    <w:rsid w:val="006144C6"/>
    <w:rsid w:val="006152C6"/>
    <w:rsid w:val="00616BC8"/>
    <w:rsid w:val="00617612"/>
    <w:rsid w:val="00617BAE"/>
    <w:rsid w:val="00617F27"/>
    <w:rsid w:val="006206F6"/>
    <w:rsid w:val="00620F88"/>
    <w:rsid w:val="00621E3A"/>
    <w:rsid w:val="00622E1D"/>
    <w:rsid w:val="006266D8"/>
    <w:rsid w:val="0062694A"/>
    <w:rsid w:val="0063160E"/>
    <w:rsid w:val="00631B76"/>
    <w:rsid w:val="00632AFF"/>
    <w:rsid w:val="006330C1"/>
    <w:rsid w:val="006345D4"/>
    <w:rsid w:val="006350E6"/>
    <w:rsid w:val="0063526E"/>
    <w:rsid w:val="006353EE"/>
    <w:rsid w:val="0063571D"/>
    <w:rsid w:val="006367A3"/>
    <w:rsid w:val="0063720D"/>
    <w:rsid w:val="006372D2"/>
    <w:rsid w:val="00637388"/>
    <w:rsid w:val="0063768D"/>
    <w:rsid w:val="00637E79"/>
    <w:rsid w:val="0064194D"/>
    <w:rsid w:val="00642F40"/>
    <w:rsid w:val="0064499C"/>
    <w:rsid w:val="00644D89"/>
    <w:rsid w:val="0064524B"/>
    <w:rsid w:val="006454B4"/>
    <w:rsid w:val="00645F25"/>
    <w:rsid w:val="00646DC9"/>
    <w:rsid w:val="00650484"/>
    <w:rsid w:val="00650782"/>
    <w:rsid w:val="006519B6"/>
    <w:rsid w:val="00651D78"/>
    <w:rsid w:val="00652319"/>
    <w:rsid w:val="0065340A"/>
    <w:rsid w:val="00653EE5"/>
    <w:rsid w:val="00653FDF"/>
    <w:rsid w:val="0065436A"/>
    <w:rsid w:val="0065549B"/>
    <w:rsid w:val="0065565C"/>
    <w:rsid w:val="0065583B"/>
    <w:rsid w:val="00655B61"/>
    <w:rsid w:val="00655F30"/>
    <w:rsid w:val="006560C2"/>
    <w:rsid w:val="0065614B"/>
    <w:rsid w:val="0065670A"/>
    <w:rsid w:val="00656A42"/>
    <w:rsid w:val="0065783B"/>
    <w:rsid w:val="00660258"/>
    <w:rsid w:val="00660291"/>
    <w:rsid w:val="00660451"/>
    <w:rsid w:val="0066120A"/>
    <w:rsid w:val="006620AA"/>
    <w:rsid w:val="00663373"/>
    <w:rsid w:val="0066348F"/>
    <w:rsid w:val="0066367B"/>
    <w:rsid w:val="006637DB"/>
    <w:rsid w:val="0066383F"/>
    <w:rsid w:val="006650DA"/>
    <w:rsid w:val="0066603F"/>
    <w:rsid w:val="0066752A"/>
    <w:rsid w:val="00667983"/>
    <w:rsid w:val="006722A8"/>
    <w:rsid w:val="0067342B"/>
    <w:rsid w:val="00673E9F"/>
    <w:rsid w:val="00675720"/>
    <w:rsid w:val="006760D9"/>
    <w:rsid w:val="00676158"/>
    <w:rsid w:val="00681647"/>
    <w:rsid w:val="00681732"/>
    <w:rsid w:val="00681F93"/>
    <w:rsid w:val="00682864"/>
    <w:rsid w:val="00683886"/>
    <w:rsid w:val="00684A00"/>
    <w:rsid w:val="006877C2"/>
    <w:rsid w:val="00690A1D"/>
    <w:rsid w:val="0069182C"/>
    <w:rsid w:val="0069189B"/>
    <w:rsid w:val="00691AC2"/>
    <w:rsid w:val="00691ED9"/>
    <w:rsid w:val="00692FEF"/>
    <w:rsid w:val="0069455E"/>
    <w:rsid w:val="006948CF"/>
    <w:rsid w:val="00695BD2"/>
    <w:rsid w:val="00695F84"/>
    <w:rsid w:val="006967B1"/>
    <w:rsid w:val="00697ADE"/>
    <w:rsid w:val="006A3CEA"/>
    <w:rsid w:val="006A41AF"/>
    <w:rsid w:val="006A4FD8"/>
    <w:rsid w:val="006A51A7"/>
    <w:rsid w:val="006A5592"/>
    <w:rsid w:val="006A691B"/>
    <w:rsid w:val="006A6C8A"/>
    <w:rsid w:val="006A6FE2"/>
    <w:rsid w:val="006A70A3"/>
    <w:rsid w:val="006A75E9"/>
    <w:rsid w:val="006A7FDF"/>
    <w:rsid w:val="006B040E"/>
    <w:rsid w:val="006B159E"/>
    <w:rsid w:val="006B2A3C"/>
    <w:rsid w:val="006B2CF8"/>
    <w:rsid w:val="006B2F29"/>
    <w:rsid w:val="006B364A"/>
    <w:rsid w:val="006B3919"/>
    <w:rsid w:val="006B3F27"/>
    <w:rsid w:val="006B59D1"/>
    <w:rsid w:val="006B65D0"/>
    <w:rsid w:val="006B6A91"/>
    <w:rsid w:val="006B6D37"/>
    <w:rsid w:val="006B6EF1"/>
    <w:rsid w:val="006C02A2"/>
    <w:rsid w:val="006C0917"/>
    <w:rsid w:val="006C2905"/>
    <w:rsid w:val="006C3A0D"/>
    <w:rsid w:val="006C3E2D"/>
    <w:rsid w:val="006C4DD0"/>
    <w:rsid w:val="006C54DD"/>
    <w:rsid w:val="006C6E74"/>
    <w:rsid w:val="006C7C4E"/>
    <w:rsid w:val="006D05D2"/>
    <w:rsid w:val="006D0C19"/>
    <w:rsid w:val="006D3F42"/>
    <w:rsid w:val="006D597F"/>
    <w:rsid w:val="006D642B"/>
    <w:rsid w:val="006D6A13"/>
    <w:rsid w:val="006D6C7D"/>
    <w:rsid w:val="006D72F9"/>
    <w:rsid w:val="006D7B64"/>
    <w:rsid w:val="006E19C9"/>
    <w:rsid w:val="006E200B"/>
    <w:rsid w:val="006E212C"/>
    <w:rsid w:val="006E27E4"/>
    <w:rsid w:val="006E4CCD"/>
    <w:rsid w:val="006E6486"/>
    <w:rsid w:val="006E6C5E"/>
    <w:rsid w:val="006E72F8"/>
    <w:rsid w:val="006E77DD"/>
    <w:rsid w:val="006F0BB0"/>
    <w:rsid w:val="006F14CE"/>
    <w:rsid w:val="006F1C9D"/>
    <w:rsid w:val="006F2A8A"/>
    <w:rsid w:val="006F30BB"/>
    <w:rsid w:val="006F32CA"/>
    <w:rsid w:val="006F3632"/>
    <w:rsid w:val="006F3792"/>
    <w:rsid w:val="006F45FC"/>
    <w:rsid w:val="006F5086"/>
    <w:rsid w:val="006F62A5"/>
    <w:rsid w:val="006F6B54"/>
    <w:rsid w:val="00700235"/>
    <w:rsid w:val="00700741"/>
    <w:rsid w:val="00700BB9"/>
    <w:rsid w:val="00701162"/>
    <w:rsid w:val="00701B34"/>
    <w:rsid w:val="00702285"/>
    <w:rsid w:val="00702515"/>
    <w:rsid w:val="0070319E"/>
    <w:rsid w:val="007037FB"/>
    <w:rsid w:val="00703AF7"/>
    <w:rsid w:val="0070566C"/>
    <w:rsid w:val="00705768"/>
    <w:rsid w:val="00705A82"/>
    <w:rsid w:val="00706BED"/>
    <w:rsid w:val="0071007E"/>
    <w:rsid w:val="00710089"/>
    <w:rsid w:val="0071023A"/>
    <w:rsid w:val="00710B46"/>
    <w:rsid w:val="0071156B"/>
    <w:rsid w:val="007124F4"/>
    <w:rsid w:val="0071307B"/>
    <w:rsid w:val="00713287"/>
    <w:rsid w:val="007139F9"/>
    <w:rsid w:val="0071547E"/>
    <w:rsid w:val="007170A6"/>
    <w:rsid w:val="00720846"/>
    <w:rsid w:val="00721B03"/>
    <w:rsid w:val="00721C75"/>
    <w:rsid w:val="00722259"/>
    <w:rsid w:val="0072231B"/>
    <w:rsid w:val="00723C97"/>
    <w:rsid w:val="00724DF6"/>
    <w:rsid w:val="007256B3"/>
    <w:rsid w:val="00725A08"/>
    <w:rsid w:val="00726ABE"/>
    <w:rsid w:val="00727A88"/>
    <w:rsid w:val="00727C98"/>
    <w:rsid w:val="00730AE5"/>
    <w:rsid w:val="007312C5"/>
    <w:rsid w:val="007326D2"/>
    <w:rsid w:val="007332F2"/>
    <w:rsid w:val="00733798"/>
    <w:rsid w:val="007338E7"/>
    <w:rsid w:val="00735045"/>
    <w:rsid w:val="007358B7"/>
    <w:rsid w:val="00737EFD"/>
    <w:rsid w:val="007409A2"/>
    <w:rsid w:val="0074166B"/>
    <w:rsid w:val="007429F7"/>
    <w:rsid w:val="0074511E"/>
    <w:rsid w:val="00745B44"/>
    <w:rsid w:val="00745DC9"/>
    <w:rsid w:val="00747486"/>
    <w:rsid w:val="0075022E"/>
    <w:rsid w:val="00752495"/>
    <w:rsid w:val="007524B2"/>
    <w:rsid w:val="00752E4E"/>
    <w:rsid w:val="007532DC"/>
    <w:rsid w:val="0075464C"/>
    <w:rsid w:val="0075608C"/>
    <w:rsid w:val="00757830"/>
    <w:rsid w:val="00760A43"/>
    <w:rsid w:val="0076186F"/>
    <w:rsid w:val="00761DFD"/>
    <w:rsid w:val="00762822"/>
    <w:rsid w:val="0076321E"/>
    <w:rsid w:val="00763BDE"/>
    <w:rsid w:val="00764F04"/>
    <w:rsid w:val="00765E3A"/>
    <w:rsid w:val="007662AA"/>
    <w:rsid w:val="007704E6"/>
    <w:rsid w:val="007720BD"/>
    <w:rsid w:val="00772CEB"/>
    <w:rsid w:val="00773763"/>
    <w:rsid w:val="00774F06"/>
    <w:rsid w:val="00775583"/>
    <w:rsid w:val="00781E0A"/>
    <w:rsid w:val="00782290"/>
    <w:rsid w:val="007835FE"/>
    <w:rsid w:val="00785465"/>
    <w:rsid w:val="0078568B"/>
    <w:rsid w:val="00785BE3"/>
    <w:rsid w:val="007870EE"/>
    <w:rsid w:val="00787286"/>
    <w:rsid w:val="0078774C"/>
    <w:rsid w:val="0079105F"/>
    <w:rsid w:val="007923D5"/>
    <w:rsid w:val="007930CD"/>
    <w:rsid w:val="0079482E"/>
    <w:rsid w:val="00796528"/>
    <w:rsid w:val="0079790D"/>
    <w:rsid w:val="00797EB8"/>
    <w:rsid w:val="007A070B"/>
    <w:rsid w:val="007A0C37"/>
    <w:rsid w:val="007A25F2"/>
    <w:rsid w:val="007A42E7"/>
    <w:rsid w:val="007A46EA"/>
    <w:rsid w:val="007A49B3"/>
    <w:rsid w:val="007A501B"/>
    <w:rsid w:val="007A56B3"/>
    <w:rsid w:val="007A607A"/>
    <w:rsid w:val="007A7D25"/>
    <w:rsid w:val="007A7E70"/>
    <w:rsid w:val="007B0919"/>
    <w:rsid w:val="007B2537"/>
    <w:rsid w:val="007B2ED3"/>
    <w:rsid w:val="007B5291"/>
    <w:rsid w:val="007B5C63"/>
    <w:rsid w:val="007B6378"/>
    <w:rsid w:val="007B659C"/>
    <w:rsid w:val="007B70EA"/>
    <w:rsid w:val="007C05E2"/>
    <w:rsid w:val="007C0801"/>
    <w:rsid w:val="007C11E2"/>
    <w:rsid w:val="007C14DC"/>
    <w:rsid w:val="007C1834"/>
    <w:rsid w:val="007C236E"/>
    <w:rsid w:val="007C3233"/>
    <w:rsid w:val="007C4484"/>
    <w:rsid w:val="007C4B28"/>
    <w:rsid w:val="007C4B94"/>
    <w:rsid w:val="007C4E74"/>
    <w:rsid w:val="007C4F18"/>
    <w:rsid w:val="007C64B5"/>
    <w:rsid w:val="007C6961"/>
    <w:rsid w:val="007C7570"/>
    <w:rsid w:val="007D03FE"/>
    <w:rsid w:val="007D09EA"/>
    <w:rsid w:val="007D0B21"/>
    <w:rsid w:val="007D2449"/>
    <w:rsid w:val="007D4859"/>
    <w:rsid w:val="007D5B8C"/>
    <w:rsid w:val="007D5F92"/>
    <w:rsid w:val="007D623B"/>
    <w:rsid w:val="007D6C7B"/>
    <w:rsid w:val="007D7477"/>
    <w:rsid w:val="007E031D"/>
    <w:rsid w:val="007E100D"/>
    <w:rsid w:val="007E41DF"/>
    <w:rsid w:val="007E4C97"/>
    <w:rsid w:val="007E4FFF"/>
    <w:rsid w:val="007E50D8"/>
    <w:rsid w:val="007E5B91"/>
    <w:rsid w:val="007E7607"/>
    <w:rsid w:val="007E7813"/>
    <w:rsid w:val="007F00E2"/>
    <w:rsid w:val="007F0897"/>
    <w:rsid w:val="007F1830"/>
    <w:rsid w:val="007F22CA"/>
    <w:rsid w:val="007F3B7B"/>
    <w:rsid w:val="007F44AD"/>
    <w:rsid w:val="007F48E8"/>
    <w:rsid w:val="007F5E05"/>
    <w:rsid w:val="007F6374"/>
    <w:rsid w:val="007F6BE5"/>
    <w:rsid w:val="00801256"/>
    <w:rsid w:val="0080282E"/>
    <w:rsid w:val="00803191"/>
    <w:rsid w:val="00803248"/>
    <w:rsid w:val="00803BF1"/>
    <w:rsid w:val="008044E9"/>
    <w:rsid w:val="00804D37"/>
    <w:rsid w:val="00806A10"/>
    <w:rsid w:val="008105B8"/>
    <w:rsid w:val="00810B09"/>
    <w:rsid w:val="00811B63"/>
    <w:rsid w:val="00812BC8"/>
    <w:rsid w:val="008139B7"/>
    <w:rsid w:val="00813C23"/>
    <w:rsid w:val="008142EE"/>
    <w:rsid w:val="00816736"/>
    <w:rsid w:val="00820124"/>
    <w:rsid w:val="008224A7"/>
    <w:rsid w:val="00822686"/>
    <w:rsid w:val="0082293B"/>
    <w:rsid w:val="00822F3C"/>
    <w:rsid w:val="00822F54"/>
    <w:rsid w:val="00823E51"/>
    <w:rsid w:val="0082457E"/>
    <w:rsid w:val="008247C7"/>
    <w:rsid w:val="008247D9"/>
    <w:rsid w:val="00826222"/>
    <w:rsid w:val="0082690D"/>
    <w:rsid w:val="00827669"/>
    <w:rsid w:val="00827C08"/>
    <w:rsid w:val="0083007A"/>
    <w:rsid w:val="00830668"/>
    <w:rsid w:val="0083135E"/>
    <w:rsid w:val="00833D2D"/>
    <w:rsid w:val="00834233"/>
    <w:rsid w:val="0083445B"/>
    <w:rsid w:val="00835553"/>
    <w:rsid w:val="008366A8"/>
    <w:rsid w:val="00836813"/>
    <w:rsid w:val="00837C52"/>
    <w:rsid w:val="008404BA"/>
    <w:rsid w:val="00841671"/>
    <w:rsid w:val="0084179A"/>
    <w:rsid w:val="008418E6"/>
    <w:rsid w:val="008437B1"/>
    <w:rsid w:val="00843E4E"/>
    <w:rsid w:val="00845119"/>
    <w:rsid w:val="0084522C"/>
    <w:rsid w:val="00845655"/>
    <w:rsid w:val="008466C3"/>
    <w:rsid w:val="00847598"/>
    <w:rsid w:val="00850379"/>
    <w:rsid w:val="00850783"/>
    <w:rsid w:val="00850850"/>
    <w:rsid w:val="008509FC"/>
    <w:rsid w:val="0085203B"/>
    <w:rsid w:val="00852579"/>
    <w:rsid w:val="00853FF6"/>
    <w:rsid w:val="008547CB"/>
    <w:rsid w:val="008549E4"/>
    <w:rsid w:val="0085571F"/>
    <w:rsid w:val="00855DC9"/>
    <w:rsid w:val="0085611D"/>
    <w:rsid w:val="008568E6"/>
    <w:rsid w:val="0085780C"/>
    <w:rsid w:val="008611E2"/>
    <w:rsid w:val="00861473"/>
    <w:rsid w:val="008624FB"/>
    <w:rsid w:val="008627E7"/>
    <w:rsid w:val="00862983"/>
    <w:rsid w:val="00862F0D"/>
    <w:rsid w:val="008636FA"/>
    <w:rsid w:val="00863E7F"/>
    <w:rsid w:val="00864EF1"/>
    <w:rsid w:val="0086525C"/>
    <w:rsid w:val="00865701"/>
    <w:rsid w:val="00865C86"/>
    <w:rsid w:val="008660E2"/>
    <w:rsid w:val="00866AAC"/>
    <w:rsid w:val="0086783C"/>
    <w:rsid w:val="00867A02"/>
    <w:rsid w:val="00870721"/>
    <w:rsid w:val="008707AB"/>
    <w:rsid w:val="0087159B"/>
    <w:rsid w:val="00871C9B"/>
    <w:rsid w:val="00871E37"/>
    <w:rsid w:val="008724A7"/>
    <w:rsid w:val="0087262D"/>
    <w:rsid w:val="008728BB"/>
    <w:rsid w:val="008729D9"/>
    <w:rsid w:val="00874741"/>
    <w:rsid w:val="00874B8B"/>
    <w:rsid w:val="00876108"/>
    <w:rsid w:val="00876570"/>
    <w:rsid w:val="008808C2"/>
    <w:rsid w:val="00880EC0"/>
    <w:rsid w:val="00882171"/>
    <w:rsid w:val="00882932"/>
    <w:rsid w:val="00882955"/>
    <w:rsid w:val="00883004"/>
    <w:rsid w:val="00883EF5"/>
    <w:rsid w:val="00884616"/>
    <w:rsid w:val="008848DB"/>
    <w:rsid w:val="008853C8"/>
    <w:rsid w:val="008867B7"/>
    <w:rsid w:val="0088684D"/>
    <w:rsid w:val="00887317"/>
    <w:rsid w:val="00887836"/>
    <w:rsid w:val="00890BDC"/>
    <w:rsid w:val="00890FB2"/>
    <w:rsid w:val="00891485"/>
    <w:rsid w:val="008932AB"/>
    <w:rsid w:val="008945F6"/>
    <w:rsid w:val="00894E63"/>
    <w:rsid w:val="0089577D"/>
    <w:rsid w:val="008968AB"/>
    <w:rsid w:val="0089741C"/>
    <w:rsid w:val="00897A02"/>
    <w:rsid w:val="008A0400"/>
    <w:rsid w:val="008A1115"/>
    <w:rsid w:val="008A15FE"/>
    <w:rsid w:val="008A2EE4"/>
    <w:rsid w:val="008A326A"/>
    <w:rsid w:val="008A3C66"/>
    <w:rsid w:val="008A3E71"/>
    <w:rsid w:val="008A412E"/>
    <w:rsid w:val="008A4AA6"/>
    <w:rsid w:val="008A4B7D"/>
    <w:rsid w:val="008A598E"/>
    <w:rsid w:val="008A5C4E"/>
    <w:rsid w:val="008A682D"/>
    <w:rsid w:val="008A73DA"/>
    <w:rsid w:val="008A7878"/>
    <w:rsid w:val="008B0047"/>
    <w:rsid w:val="008B044F"/>
    <w:rsid w:val="008B1398"/>
    <w:rsid w:val="008B336A"/>
    <w:rsid w:val="008B5330"/>
    <w:rsid w:val="008B6195"/>
    <w:rsid w:val="008B6AC7"/>
    <w:rsid w:val="008B7453"/>
    <w:rsid w:val="008B7FCD"/>
    <w:rsid w:val="008C10AE"/>
    <w:rsid w:val="008C15BA"/>
    <w:rsid w:val="008C15D0"/>
    <w:rsid w:val="008C15D4"/>
    <w:rsid w:val="008C2AF1"/>
    <w:rsid w:val="008C3A6E"/>
    <w:rsid w:val="008C4E8F"/>
    <w:rsid w:val="008C5128"/>
    <w:rsid w:val="008C53F9"/>
    <w:rsid w:val="008C5FE8"/>
    <w:rsid w:val="008C604C"/>
    <w:rsid w:val="008C6518"/>
    <w:rsid w:val="008C7E54"/>
    <w:rsid w:val="008D082C"/>
    <w:rsid w:val="008D1028"/>
    <w:rsid w:val="008D2098"/>
    <w:rsid w:val="008D2653"/>
    <w:rsid w:val="008D3D4E"/>
    <w:rsid w:val="008D3E4F"/>
    <w:rsid w:val="008D52E3"/>
    <w:rsid w:val="008D54DE"/>
    <w:rsid w:val="008D72D1"/>
    <w:rsid w:val="008D7B27"/>
    <w:rsid w:val="008D7D60"/>
    <w:rsid w:val="008E0120"/>
    <w:rsid w:val="008E01F5"/>
    <w:rsid w:val="008E0ACF"/>
    <w:rsid w:val="008E25F9"/>
    <w:rsid w:val="008E4157"/>
    <w:rsid w:val="008E4808"/>
    <w:rsid w:val="008E58F3"/>
    <w:rsid w:val="008E6478"/>
    <w:rsid w:val="008E7064"/>
    <w:rsid w:val="008E79F6"/>
    <w:rsid w:val="008E7A42"/>
    <w:rsid w:val="008F03B7"/>
    <w:rsid w:val="008F30F1"/>
    <w:rsid w:val="008F3255"/>
    <w:rsid w:val="008F352B"/>
    <w:rsid w:val="008F4222"/>
    <w:rsid w:val="008F5211"/>
    <w:rsid w:val="008F569A"/>
    <w:rsid w:val="008F63DC"/>
    <w:rsid w:val="008F6B4E"/>
    <w:rsid w:val="008F7275"/>
    <w:rsid w:val="008F78CD"/>
    <w:rsid w:val="0090105A"/>
    <w:rsid w:val="009027BF"/>
    <w:rsid w:val="009031DA"/>
    <w:rsid w:val="00904233"/>
    <w:rsid w:val="00904F1A"/>
    <w:rsid w:val="00905531"/>
    <w:rsid w:val="00905AFE"/>
    <w:rsid w:val="0090638E"/>
    <w:rsid w:val="0090663E"/>
    <w:rsid w:val="009066A0"/>
    <w:rsid w:val="00907DC0"/>
    <w:rsid w:val="00907F9B"/>
    <w:rsid w:val="009115B1"/>
    <w:rsid w:val="009115B5"/>
    <w:rsid w:val="009118B1"/>
    <w:rsid w:val="00911AFC"/>
    <w:rsid w:val="009137B8"/>
    <w:rsid w:val="00913F1A"/>
    <w:rsid w:val="00915842"/>
    <w:rsid w:val="009159EA"/>
    <w:rsid w:val="00916BC7"/>
    <w:rsid w:val="00917661"/>
    <w:rsid w:val="009179D2"/>
    <w:rsid w:val="00922EF1"/>
    <w:rsid w:val="00923D10"/>
    <w:rsid w:val="00924256"/>
    <w:rsid w:val="00926785"/>
    <w:rsid w:val="00926E7B"/>
    <w:rsid w:val="00927355"/>
    <w:rsid w:val="00927ACD"/>
    <w:rsid w:val="00931588"/>
    <w:rsid w:val="00932CE3"/>
    <w:rsid w:val="00933114"/>
    <w:rsid w:val="00934578"/>
    <w:rsid w:val="0093613D"/>
    <w:rsid w:val="00943237"/>
    <w:rsid w:val="00944324"/>
    <w:rsid w:val="0094460F"/>
    <w:rsid w:val="00946C13"/>
    <w:rsid w:val="009474F2"/>
    <w:rsid w:val="009538A6"/>
    <w:rsid w:val="00953D67"/>
    <w:rsid w:val="00954C6F"/>
    <w:rsid w:val="0095534E"/>
    <w:rsid w:val="00956B17"/>
    <w:rsid w:val="00956DFB"/>
    <w:rsid w:val="0095716C"/>
    <w:rsid w:val="0095796A"/>
    <w:rsid w:val="009603C3"/>
    <w:rsid w:val="009605C0"/>
    <w:rsid w:val="00961CB0"/>
    <w:rsid w:val="00962942"/>
    <w:rsid w:val="00962B6C"/>
    <w:rsid w:val="00963186"/>
    <w:rsid w:val="00963D53"/>
    <w:rsid w:val="00966585"/>
    <w:rsid w:val="009702C9"/>
    <w:rsid w:val="009717D8"/>
    <w:rsid w:val="009719BC"/>
    <w:rsid w:val="00972D88"/>
    <w:rsid w:val="00973512"/>
    <w:rsid w:val="009748F0"/>
    <w:rsid w:val="00974AA0"/>
    <w:rsid w:val="00974EE2"/>
    <w:rsid w:val="009752C1"/>
    <w:rsid w:val="009752C8"/>
    <w:rsid w:val="00975337"/>
    <w:rsid w:val="009803F4"/>
    <w:rsid w:val="009807F2"/>
    <w:rsid w:val="009813FD"/>
    <w:rsid w:val="00982092"/>
    <w:rsid w:val="00982331"/>
    <w:rsid w:val="0098273F"/>
    <w:rsid w:val="00983BE8"/>
    <w:rsid w:val="009840D8"/>
    <w:rsid w:val="00985529"/>
    <w:rsid w:val="0098559A"/>
    <w:rsid w:val="009855C4"/>
    <w:rsid w:val="00985AD0"/>
    <w:rsid w:val="00985B53"/>
    <w:rsid w:val="00991461"/>
    <w:rsid w:val="009919DF"/>
    <w:rsid w:val="00994040"/>
    <w:rsid w:val="00994105"/>
    <w:rsid w:val="0099497B"/>
    <w:rsid w:val="0099545D"/>
    <w:rsid w:val="009958F1"/>
    <w:rsid w:val="009969C7"/>
    <w:rsid w:val="00997D6A"/>
    <w:rsid w:val="009A0BD6"/>
    <w:rsid w:val="009A115C"/>
    <w:rsid w:val="009A13C2"/>
    <w:rsid w:val="009A1AF0"/>
    <w:rsid w:val="009A26D8"/>
    <w:rsid w:val="009A3474"/>
    <w:rsid w:val="009A3928"/>
    <w:rsid w:val="009A3B6E"/>
    <w:rsid w:val="009A40A3"/>
    <w:rsid w:val="009A4B25"/>
    <w:rsid w:val="009A4C08"/>
    <w:rsid w:val="009A4DB0"/>
    <w:rsid w:val="009A5180"/>
    <w:rsid w:val="009A5355"/>
    <w:rsid w:val="009A5524"/>
    <w:rsid w:val="009A65B1"/>
    <w:rsid w:val="009B03CB"/>
    <w:rsid w:val="009B05E4"/>
    <w:rsid w:val="009B065E"/>
    <w:rsid w:val="009B08F3"/>
    <w:rsid w:val="009B1AB5"/>
    <w:rsid w:val="009B295C"/>
    <w:rsid w:val="009B3E9D"/>
    <w:rsid w:val="009B3F71"/>
    <w:rsid w:val="009B41DD"/>
    <w:rsid w:val="009B477C"/>
    <w:rsid w:val="009B4E91"/>
    <w:rsid w:val="009B4FFD"/>
    <w:rsid w:val="009B55C2"/>
    <w:rsid w:val="009B57AA"/>
    <w:rsid w:val="009B6C82"/>
    <w:rsid w:val="009B7D87"/>
    <w:rsid w:val="009B7E5B"/>
    <w:rsid w:val="009C0689"/>
    <w:rsid w:val="009C08EF"/>
    <w:rsid w:val="009C163F"/>
    <w:rsid w:val="009C1786"/>
    <w:rsid w:val="009C4FE8"/>
    <w:rsid w:val="009C5DFD"/>
    <w:rsid w:val="009C63ED"/>
    <w:rsid w:val="009C65C1"/>
    <w:rsid w:val="009C69D8"/>
    <w:rsid w:val="009C7AFA"/>
    <w:rsid w:val="009D0685"/>
    <w:rsid w:val="009D0FA7"/>
    <w:rsid w:val="009D157A"/>
    <w:rsid w:val="009D198E"/>
    <w:rsid w:val="009D2AE9"/>
    <w:rsid w:val="009D2D1D"/>
    <w:rsid w:val="009D2D55"/>
    <w:rsid w:val="009D4033"/>
    <w:rsid w:val="009D4225"/>
    <w:rsid w:val="009D45C7"/>
    <w:rsid w:val="009D50B6"/>
    <w:rsid w:val="009D51B6"/>
    <w:rsid w:val="009D592D"/>
    <w:rsid w:val="009D7937"/>
    <w:rsid w:val="009E083D"/>
    <w:rsid w:val="009E0A94"/>
    <w:rsid w:val="009E1A91"/>
    <w:rsid w:val="009E281B"/>
    <w:rsid w:val="009E3049"/>
    <w:rsid w:val="009E49E2"/>
    <w:rsid w:val="009E4F8D"/>
    <w:rsid w:val="009E670C"/>
    <w:rsid w:val="009E73CE"/>
    <w:rsid w:val="009E7DF9"/>
    <w:rsid w:val="009E7F9D"/>
    <w:rsid w:val="009F07DE"/>
    <w:rsid w:val="009F0C5F"/>
    <w:rsid w:val="009F0E0C"/>
    <w:rsid w:val="009F147C"/>
    <w:rsid w:val="009F14A2"/>
    <w:rsid w:val="009F282B"/>
    <w:rsid w:val="009F2E8A"/>
    <w:rsid w:val="009F32FF"/>
    <w:rsid w:val="009F3A30"/>
    <w:rsid w:val="009F40E6"/>
    <w:rsid w:val="009F55F9"/>
    <w:rsid w:val="009F5A4A"/>
    <w:rsid w:val="009F5BA2"/>
    <w:rsid w:val="009F6597"/>
    <w:rsid w:val="009F65B2"/>
    <w:rsid w:val="009F6962"/>
    <w:rsid w:val="009F6AD4"/>
    <w:rsid w:val="00A003BC"/>
    <w:rsid w:val="00A00521"/>
    <w:rsid w:val="00A00742"/>
    <w:rsid w:val="00A0121D"/>
    <w:rsid w:val="00A016B2"/>
    <w:rsid w:val="00A02764"/>
    <w:rsid w:val="00A02CD7"/>
    <w:rsid w:val="00A02DA3"/>
    <w:rsid w:val="00A02F2A"/>
    <w:rsid w:val="00A030CB"/>
    <w:rsid w:val="00A045B3"/>
    <w:rsid w:val="00A059F9"/>
    <w:rsid w:val="00A07082"/>
    <w:rsid w:val="00A0737B"/>
    <w:rsid w:val="00A07CD2"/>
    <w:rsid w:val="00A10EB9"/>
    <w:rsid w:val="00A11F38"/>
    <w:rsid w:val="00A11FFE"/>
    <w:rsid w:val="00A123A1"/>
    <w:rsid w:val="00A130FE"/>
    <w:rsid w:val="00A14650"/>
    <w:rsid w:val="00A160F1"/>
    <w:rsid w:val="00A161F6"/>
    <w:rsid w:val="00A16777"/>
    <w:rsid w:val="00A1761C"/>
    <w:rsid w:val="00A202A8"/>
    <w:rsid w:val="00A20B0E"/>
    <w:rsid w:val="00A21599"/>
    <w:rsid w:val="00A21BCF"/>
    <w:rsid w:val="00A22A7C"/>
    <w:rsid w:val="00A23242"/>
    <w:rsid w:val="00A2358E"/>
    <w:rsid w:val="00A23928"/>
    <w:rsid w:val="00A24D4C"/>
    <w:rsid w:val="00A25585"/>
    <w:rsid w:val="00A26048"/>
    <w:rsid w:val="00A26E9D"/>
    <w:rsid w:val="00A26EF9"/>
    <w:rsid w:val="00A2713B"/>
    <w:rsid w:val="00A27963"/>
    <w:rsid w:val="00A3036A"/>
    <w:rsid w:val="00A3095F"/>
    <w:rsid w:val="00A30CF6"/>
    <w:rsid w:val="00A30D1E"/>
    <w:rsid w:val="00A30FAC"/>
    <w:rsid w:val="00A31857"/>
    <w:rsid w:val="00A3236E"/>
    <w:rsid w:val="00A32B18"/>
    <w:rsid w:val="00A331C3"/>
    <w:rsid w:val="00A33B39"/>
    <w:rsid w:val="00A34AE1"/>
    <w:rsid w:val="00A34F7E"/>
    <w:rsid w:val="00A35C83"/>
    <w:rsid w:val="00A36F05"/>
    <w:rsid w:val="00A4009A"/>
    <w:rsid w:val="00A40AEF"/>
    <w:rsid w:val="00A40E23"/>
    <w:rsid w:val="00A40E89"/>
    <w:rsid w:val="00A419FE"/>
    <w:rsid w:val="00A41D6C"/>
    <w:rsid w:val="00A41E7F"/>
    <w:rsid w:val="00A4371D"/>
    <w:rsid w:val="00A4537D"/>
    <w:rsid w:val="00A4557F"/>
    <w:rsid w:val="00A477DE"/>
    <w:rsid w:val="00A52144"/>
    <w:rsid w:val="00A523B7"/>
    <w:rsid w:val="00A530E3"/>
    <w:rsid w:val="00A532CE"/>
    <w:rsid w:val="00A53547"/>
    <w:rsid w:val="00A539FC"/>
    <w:rsid w:val="00A53FA8"/>
    <w:rsid w:val="00A5435C"/>
    <w:rsid w:val="00A552CA"/>
    <w:rsid w:val="00A563A2"/>
    <w:rsid w:val="00A563AE"/>
    <w:rsid w:val="00A573D1"/>
    <w:rsid w:val="00A604E8"/>
    <w:rsid w:val="00A6199E"/>
    <w:rsid w:val="00A62021"/>
    <w:rsid w:val="00A6345A"/>
    <w:rsid w:val="00A63B0F"/>
    <w:rsid w:val="00A63DB8"/>
    <w:rsid w:val="00A63E27"/>
    <w:rsid w:val="00A640B7"/>
    <w:rsid w:val="00A64E2F"/>
    <w:rsid w:val="00A66174"/>
    <w:rsid w:val="00A731D9"/>
    <w:rsid w:val="00A7479F"/>
    <w:rsid w:val="00A76338"/>
    <w:rsid w:val="00A7669C"/>
    <w:rsid w:val="00A77204"/>
    <w:rsid w:val="00A7757E"/>
    <w:rsid w:val="00A77881"/>
    <w:rsid w:val="00A800D6"/>
    <w:rsid w:val="00A80CCE"/>
    <w:rsid w:val="00A8267B"/>
    <w:rsid w:val="00A8275B"/>
    <w:rsid w:val="00A8299C"/>
    <w:rsid w:val="00A82AC4"/>
    <w:rsid w:val="00A83693"/>
    <w:rsid w:val="00A83805"/>
    <w:rsid w:val="00A83F0B"/>
    <w:rsid w:val="00A84BEC"/>
    <w:rsid w:val="00A84C1E"/>
    <w:rsid w:val="00A84E78"/>
    <w:rsid w:val="00A84F56"/>
    <w:rsid w:val="00A85BC9"/>
    <w:rsid w:val="00A85DA7"/>
    <w:rsid w:val="00A86204"/>
    <w:rsid w:val="00A86D33"/>
    <w:rsid w:val="00A87531"/>
    <w:rsid w:val="00A87538"/>
    <w:rsid w:val="00A87B51"/>
    <w:rsid w:val="00A87C2D"/>
    <w:rsid w:val="00A92B98"/>
    <w:rsid w:val="00A93641"/>
    <w:rsid w:val="00A93829"/>
    <w:rsid w:val="00A95F99"/>
    <w:rsid w:val="00A96D5B"/>
    <w:rsid w:val="00A970BF"/>
    <w:rsid w:val="00AA02C8"/>
    <w:rsid w:val="00AA1075"/>
    <w:rsid w:val="00AA1B59"/>
    <w:rsid w:val="00AA4C21"/>
    <w:rsid w:val="00AA4E80"/>
    <w:rsid w:val="00AA70F0"/>
    <w:rsid w:val="00AA790E"/>
    <w:rsid w:val="00AB010A"/>
    <w:rsid w:val="00AB03CC"/>
    <w:rsid w:val="00AB0AA7"/>
    <w:rsid w:val="00AB1E07"/>
    <w:rsid w:val="00AB2711"/>
    <w:rsid w:val="00AB2FA9"/>
    <w:rsid w:val="00AB370E"/>
    <w:rsid w:val="00AB392F"/>
    <w:rsid w:val="00AB40E7"/>
    <w:rsid w:val="00AB518A"/>
    <w:rsid w:val="00AB5235"/>
    <w:rsid w:val="00AB5330"/>
    <w:rsid w:val="00AB569F"/>
    <w:rsid w:val="00AB5789"/>
    <w:rsid w:val="00AB58DE"/>
    <w:rsid w:val="00AB6286"/>
    <w:rsid w:val="00AB6466"/>
    <w:rsid w:val="00AB6529"/>
    <w:rsid w:val="00AB6DB0"/>
    <w:rsid w:val="00AB7312"/>
    <w:rsid w:val="00AC09E1"/>
    <w:rsid w:val="00AC0E42"/>
    <w:rsid w:val="00AC125A"/>
    <w:rsid w:val="00AC223D"/>
    <w:rsid w:val="00AC309E"/>
    <w:rsid w:val="00AC3A53"/>
    <w:rsid w:val="00AC6572"/>
    <w:rsid w:val="00AC65DF"/>
    <w:rsid w:val="00AC7F18"/>
    <w:rsid w:val="00AD062B"/>
    <w:rsid w:val="00AD0F56"/>
    <w:rsid w:val="00AD1413"/>
    <w:rsid w:val="00AD24F7"/>
    <w:rsid w:val="00AD2A3B"/>
    <w:rsid w:val="00AD3614"/>
    <w:rsid w:val="00AD4116"/>
    <w:rsid w:val="00AD4640"/>
    <w:rsid w:val="00AD58E5"/>
    <w:rsid w:val="00AD6963"/>
    <w:rsid w:val="00AD71D9"/>
    <w:rsid w:val="00AE2810"/>
    <w:rsid w:val="00AE34B0"/>
    <w:rsid w:val="00AE61CE"/>
    <w:rsid w:val="00AF114E"/>
    <w:rsid w:val="00AF145D"/>
    <w:rsid w:val="00AF1AAA"/>
    <w:rsid w:val="00AF2038"/>
    <w:rsid w:val="00AF2CFE"/>
    <w:rsid w:val="00AF342C"/>
    <w:rsid w:val="00AF456C"/>
    <w:rsid w:val="00AF630B"/>
    <w:rsid w:val="00AF69C2"/>
    <w:rsid w:val="00B0065C"/>
    <w:rsid w:val="00B00AE4"/>
    <w:rsid w:val="00B00DC6"/>
    <w:rsid w:val="00B01DC2"/>
    <w:rsid w:val="00B03535"/>
    <w:rsid w:val="00B03714"/>
    <w:rsid w:val="00B038DA"/>
    <w:rsid w:val="00B0608E"/>
    <w:rsid w:val="00B06640"/>
    <w:rsid w:val="00B078AF"/>
    <w:rsid w:val="00B1060E"/>
    <w:rsid w:val="00B10BC4"/>
    <w:rsid w:val="00B111D1"/>
    <w:rsid w:val="00B12BD4"/>
    <w:rsid w:val="00B1342B"/>
    <w:rsid w:val="00B134FB"/>
    <w:rsid w:val="00B13602"/>
    <w:rsid w:val="00B139F2"/>
    <w:rsid w:val="00B146C8"/>
    <w:rsid w:val="00B15C11"/>
    <w:rsid w:val="00B15D27"/>
    <w:rsid w:val="00B16793"/>
    <w:rsid w:val="00B170CA"/>
    <w:rsid w:val="00B178C1"/>
    <w:rsid w:val="00B17B07"/>
    <w:rsid w:val="00B17B6F"/>
    <w:rsid w:val="00B17C5A"/>
    <w:rsid w:val="00B21D94"/>
    <w:rsid w:val="00B21E39"/>
    <w:rsid w:val="00B22753"/>
    <w:rsid w:val="00B24265"/>
    <w:rsid w:val="00B2688E"/>
    <w:rsid w:val="00B27E50"/>
    <w:rsid w:val="00B27F79"/>
    <w:rsid w:val="00B30C1B"/>
    <w:rsid w:val="00B30CE2"/>
    <w:rsid w:val="00B3103A"/>
    <w:rsid w:val="00B3172F"/>
    <w:rsid w:val="00B321D6"/>
    <w:rsid w:val="00B3224A"/>
    <w:rsid w:val="00B32BC6"/>
    <w:rsid w:val="00B32CAA"/>
    <w:rsid w:val="00B33450"/>
    <w:rsid w:val="00B337F6"/>
    <w:rsid w:val="00B3481F"/>
    <w:rsid w:val="00B34C81"/>
    <w:rsid w:val="00B35870"/>
    <w:rsid w:val="00B35A05"/>
    <w:rsid w:val="00B36818"/>
    <w:rsid w:val="00B3729F"/>
    <w:rsid w:val="00B37F67"/>
    <w:rsid w:val="00B417CD"/>
    <w:rsid w:val="00B42600"/>
    <w:rsid w:val="00B429D1"/>
    <w:rsid w:val="00B445B0"/>
    <w:rsid w:val="00B45565"/>
    <w:rsid w:val="00B457D7"/>
    <w:rsid w:val="00B46464"/>
    <w:rsid w:val="00B465B9"/>
    <w:rsid w:val="00B469DF"/>
    <w:rsid w:val="00B46C9B"/>
    <w:rsid w:val="00B47703"/>
    <w:rsid w:val="00B5046D"/>
    <w:rsid w:val="00B51F81"/>
    <w:rsid w:val="00B5256B"/>
    <w:rsid w:val="00B52A58"/>
    <w:rsid w:val="00B53E07"/>
    <w:rsid w:val="00B550EF"/>
    <w:rsid w:val="00B55C20"/>
    <w:rsid w:val="00B5633F"/>
    <w:rsid w:val="00B62516"/>
    <w:rsid w:val="00B6261A"/>
    <w:rsid w:val="00B63C0D"/>
    <w:rsid w:val="00B6405F"/>
    <w:rsid w:val="00B642F4"/>
    <w:rsid w:val="00B655BA"/>
    <w:rsid w:val="00B65763"/>
    <w:rsid w:val="00B65A98"/>
    <w:rsid w:val="00B65CC1"/>
    <w:rsid w:val="00B66C07"/>
    <w:rsid w:val="00B66C28"/>
    <w:rsid w:val="00B66EB2"/>
    <w:rsid w:val="00B674BB"/>
    <w:rsid w:val="00B7051A"/>
    <w:rsid w:val="00B72982"/>
    <w:rsid w:val="00B72AAC"/>
    <w:rsid w:val="00B73C75"/>
    <w:rsid w:val="00B77832"/>
    <w:rsid w:val="00B7799A"/>
    <w:rsid w:val="00B808D1"/>
    <w:rsid w:val="00B80BC4"/>
    <w:rsid w:val="00B80F5F"/>
    <w:rsid w:val="00B8124A"/>
    <w:rsid w:val="00B81F60"/>
    <w:rsid w:val="00B81FD4"/>
    <w:rsid w:val="00B82165"/>
    <w:rsid w:val="00B82B51"/>
    <w:rsid w:val="00B84F71"/>
    <w:rsid w:val="00B854C2"/>
    <w:rsid w:val="00B85B00"/>
    <w:rsid w:val="00B860FF"/>
    <w:rsid w:val="00B865C6"/>
    <w:rsid w:val="00B87541"/>
    <w:rsid w:val="00B90664"/>
    <w:rsid w:val="00B91400"/>
    <w:rsid w:val="00B91BB1"/>
    <w:rsid w:val="00B91BFD"/>
    <w:rsid w:val="00B92391"/>
    <w:rsid w:val="00B93877"/>
    <w:rsid w:val="00B93EC7"/>
    <w:rsid w:val="00B94666"/>
    <w:rsid w:val="00B9550F"/>
    <w:rsid w:val="00B96A30"/>
    <w:rsid w:val="00B96A62"/>
    <w:rsid w:val="00B96B1C"/>
    <w:rsid w:val="00B97C83"/>
    <w:rsid w:val="00B97D2A"/>
    <w:rsid w:val="00BA06FB"/>
    <w:rsid w:val="00BA09E1"/>
    <w:rsid w:val="00BA103C"/>
    <w:rsid w:val="00BA2804"/>
    <w:rsid w:val="00BA4383"/>
    <w:rsid w:val="00BA52DF"/>
    <w:rsid w:val="00BA6270"/>
    <w:rsid w:val="00BA62B6"/>
    <w:rsid w:val="00BA678A"/>
    <w:rsid w:val="00BA7BAF"/>
    <w:rsid w:val="00BB0007"/>
    <w:rsid w:val="00BB0566"/>
    <w:rsid w:val="00BB0F1A"/>
    <w:rsid w:val="00BB1184"/>
    <w:rsid w:val="00BB1465"/>
    <w:rsid w:val="00BB14C6"/>
    <w:rsid w:val="00BB164A"/>
    <w:rsid w:val="00BB169C"/>
    <w:rsid w:val="00BB1826"/>
    <w:rsid w:val="00BB2236"/>
    <w:rsid w:val="00BB28AC"/>
    <w:rsid w:val="00BB2E5F"/>
    <w:rsid w:val="00BB3724"/>
    <w:rsid w:val="00BB474E"/>
    <w:rsid w:val="00BB5C20"/>
    <w:rsid w:val="00BB6A60"/>
    <w:rsid w:val="00BB6DF0"/>
    <w:rsid w:val="00BC0205"/>
    <w:rsid w:val="00BC3C2A"/>
    <w:rsid w:val="00BD034C"/>
    <w:rsid w:val="00BD110F"/>
    <w:rsid w:val="00BD1AFC"/>
    <w:rsid w:val="00BD5334"/>
    <w:rsid w:val="00BD5397"/>
    <w:rsid w:val="00BD55AF"/>
    <w:rsid w:val="00BD6431"/>
    <w:rsid w:val="00BD7E71"/>
    <w:rsid w:val="00BD7E9A"/>
    <w:rsid w:val="00BE0BBA"/>
    <w:rsid w:val="00BE0D0F"/>
    <w:rsid w:val="00BE1158"/>
    <w:rsid w:val="00BE1D25"/>
    <w:rsid w:val="00BE24C9"/>
    <w:rsid w:val="00BE308F"/>
    <w:rsid w:val="00BE36F7"/>
    <w:rsid w:val="00BE3D73"/>
    <w:rsid w:val="00BE6011"/>
    <w:rsid w:val="00BE621A"/>
    <w:rsid w:val="00BF0102"/>
    <w:rsid w:val="00BF0DB7"/>
    <w:rsid w:val="00BF1866"/>
    <w:rsid w:val="00BF1AA2"/>
    <w:rsid w:val="00BF1E0E"/>
    <w:rsid w:val="00BF24BA"/>
    <w:rsid w:val="00BF2726"/>
    <w:rsid w:val="00BF29D9"/>
    <w:rsid w:val="00BF3BB5"/>
    <w:rsid w:val="00BF47DE"/>
    <w:rsid w:val="00BF48E2"/>
    <w:rsid w:val="00BF520D"/>
    <w:rsid w:val="00BF61EA"/>
    <w:rsid w:val="00BF6646"/>
    <w:rsid w:val="00BF6884"/>
    <w:rsid w:val="00BF6C2F"/>
    <w:rsid w:val="00C00A41"/>
    <w:rsid w:val="00C031BE"/>
    <w:rsid w:val="00C03BCC"/>
    <w:rsid w:val="00C1031A"/>
    <w:rsid w:val="00C11A45"/>
    <w:rsid w:val="00C12322"/>
    <w:rsid w:val="00C1270C"/>
    <w:rsid w:val="00C12BFF"/>
    <w:rsid w:val="00C133C0"/>
    <w:rsid w:val="00C153E0"/>
    <w:rsid w:val="00C15E24"/>
    <w:rsid w:val="00C1758C"/>
    <w:rsid w:val="00C17985"/>
    <w:rsid w:val="00C204F8"/>
    <w:rsid w:val="00C21C15"/>
    <w:rsid w:val="00C22502"/>
    <w:rsid w:val="00C23606"/>
    <w:rsid w:val="00C24ED2"/>
    <w:rsid w:val="00C256DB"/>
    <w:rsid w:val="00C25BFA"/>
    <w:rsid w:val="00C27ACD"/>
    <w:rsid w:val="00C3031F"/>
    <w:rsid w:val="00C32C36"/>
    <w:rsid w:val="00C334EC"/>
    <w:rsid w:val="00C336B1"/>
    <w:rsid w:val="00C33CB3"/>
    <w:rsid w:val="00C34679"/>
    <w:rsid w:val="00C346F8"/>
    <w:rsid w:val="00C35015"/>
    <w:rsid w:val="00C35888"/>
    <w:rsid w:val="00C40B31"/>
    <w:rsid w:val="00C40B3F"/>
    <w:rsid w:val="00C41655"/>
    <w:rsid w:val="00C417B7"/>
    <w:rsid w:val="00C41B50"/>
    <w:rsid w:val="00C41F75"/>
    <w:rsid w:val="00C41F90"/>
    <w:rsid w:val="00C436F4"/>
    <w:rsid w:val="00C440D6"/>
    <w:rsid w:val="00C459ED"/>
    <w:rsid w:val="00C45BD4"/>
    <w:rsid w:val="00C46331"/>
    <w:rsid w:val="00C46476"/>
    <w:rsid w:val="00C464E1"/>
    <w:rsid w:val="00C4687D"/>
    <w:rsid w:val="00C46A12"/>
    <w:rsid w:val="00C50963"/>
    <w:rsid w:val="00C517AF"/>
    <w:rsid w:val="00C51B3F"/>
    <w:rsid w:val="00C51F9B"/>
    <w:rsid w:val="00C526E1"/>
    <w:rsid w:val="00C5459C"/>
    <w:rsid w:val="00C54D9B"/>
    <w:rsid w:val="00C5578F"/>
    <w:rsid w:val="00C55AF6"/>
    <w:rsid w:val="00C57BC1"/>
    <w:rsid w:val="00C60932"/>
    <w:rsid w:val="00C61483"/>
    <w:rsid w:val="00C61C11"/>
    <w:rsid w:val="00C61C15"/>
    <w:rsid w:val="00C62ED3"/>
    <w:rsid w:val="00C63E85"/>
    <w:rsid w:val="00C64F64"/>
    <w:rsid w:val="00C6507D"/>
    <w:rsid w:val="00C6566B"/>
    <w:rsid w:val="00C658D8"/>
    <w:rsid w:val="00C65C08"/>
    <w:rsid w:val="00C66487"/>
    <w:rsid w:val="00C66F2B"/>
    <w:rsid w:val="00C67076"/>
    <w:rsid w:val="00C67F74"/>
    <w:rsid w:val="00C702A3"/>
    <w:rsid w:val="00C70DF7"/>
    <w:rsid w:val="00C71E94"/>
    <w:rsid w:val="00C71F0D"/>
    <w:rsid w:val="00C72A4D"/>
    <w:rsid w:val="00C72DDF"/>
    <w:rsid w:val="00C731C5"/>
    <w:rsid w:val="00C73DD6"/>
    <w:rsid w:val="00C742EF"/>
    <w:rsid w:val="00C74A4F"/>
    <w:rsid w:val="00C75290"/>
    <w:rsid w:val="00C76006"/>
    <w:rsid w:val="00C76F7A"/>
    <w:rsid w:val="00C777F2"/>
    <w:rsid w:val="00C77826"/>
    <w:rsid w:val="00C80E61"/>
    <w:rsid w:val="00C815AE"/>
    <w:rsid w:val="00C8191C"/>
    <w:rsid w:val="00C82409"/>
    <w:rsid w:val="00C824A8"/>
    <w:rsid w:val="00C82D91"/>
    <w:rsid w:val="00C84A5E"/>
    <w:rsid w:val="00C85A22"/>
    <w:rsid w:val="00C873D1"/>
    <w:rsid w:val="00C8752D"/>
    <w:rsid w:val="00C87EAC"/>
    <w:rsid w:val="00C90CEB"/>
    <w:rsid w:val="00C91991"/>
    <w:rsid w:val="00C92105"/>
    <w:rsid w:val="00C92625"/>
    <w:rsid w:val="00C92860"/>
    <w:rsid w:val="00C928F1"/>
    <w:rsid w:val="00C92CAD"/>
    <w:rsid w:val="00C92D87"/>
    <w:rsid w:val="00C94EBD"/>
    <w:rsid w:val="00C95673"/>
    <w:rsid w:val="00C97FDC"/>
    <w:rsid w:val="00CA0F8B"/>
    <w:rsid w:val="00CA2483"/>
    <w:rsid w:val="00CA27B0"/>
    <w:rsid w:val="00CA3413"/>
    <w:rsid w:val="00CA348D"/>
    <w:rsid w:val="00CA4DF9"/>
    <w:rsid w:val="00CA5160"/>
    <w:rsid w:val="00CA5823"/>
    <w:rsid w:val="00CA5F5F"/>
    <w:rsid w:val="00CA6224"/>
    <w:rsid w:val="00CA7133"/>
    <w:rsid w:val="00CA7C7D"/>
    <w:rsid w:val="00CA7EA5"/>
    <w:rsid w:val="00CB025A"/>
    <w:rsid w:val="00CB03A2"/>
    <w:rsid w:val="00CB187D"/>
    <w:rsid w:val="00CB1C4A"/>
    <w:rsid w:val="00CB21D5"/>
    <w:rsid w:val="00CB2741"/>
    <w:rsid w:val="00CB28DE"/>
    <w:rsid w:val="00CB2948"/>
    <w:rsid w:val="00CB3A74"/>
    <w:rsid w:val="00CB40D4"/>
    <w:rsid w:val="00CB41F7"/>
    <w:rsid w:val="00CB56B0"/>
    <w:rsid w:val="00CB591F"/>
    <w:rsid w:val="00CB65B6"/>
    <w:rsid w:val="00CB73AD"/>
    <w:rsid w:val="00CC0BA3"/>
    <w:rsid w:val="00CC0EA6"/>
    <w:rsid w:val="00CC1121"/>
    <w:rsid w:val="00CC1571"/>
    <w:rsid w:val="00CC15CE"/>
    <w:rsid w:val="00CC3D33"/>
    <w:rsid w:val="00CC3EDD"/>
    <w:rsid w:val="00CC45D1"/>
    <w:rsid w:val="00CC59C3"/>
    <w:rsid w:val="00CC6AAF"/>
    <w:rsid w:val="00CC735F"/>
    <w:rsid w:val="00CC7DEB"/>
    <w:rsid w:val="00CD019B"/>
    <w:rsid w:val="00CD0965"/>
    <w:rsid w:val="00CD1066"/>
    <w:rsid w:val="00CD1A22"/>
    <w:rsid w:val="00CD25AB"/>
    <w:rsid w:val="00CD29A3"/>
    <w:rsid w:val="00CD2C2E"/>
    <w:rsid w:val="00CD340D"/>
    <w:rsid w:val="00CD3D0B"/>
    <w:rsid w:val="00CD4C8E"/>
    <w:rsid w:val="00CD64E4"/>
    <w:rsid w:val="00CD6E15"/>
    <w:rsid w:val="00CD6E2B"/>
    <w:rsid w:val="00CD6E51"/>
    <w:rsid w:val="00CD79A2"/>
    <w:rsid w:val="00CD79F6"/>
    <w:rsid w:val="00CD7ED5"/>
    <w:rsid w:val="00CE19E6"/>
    <w:rsid w:val="00CE2306"/>
    <w:rsid w:val="00CE2EEF"/>
    <w:rsid w:val="00CE319A"/>
    <w:rsid w:val="00CE4153"/>
    <w:rsid w:val="00CE49EA"/>
    <w:rsid w:val="00CE6929"/>
    <w:rsid w:val="00CE6A03"/>
    <w:rsid w:val="00CE6A0C"/>
    <w:rsid w:val="00CF06F2"/>
    <w:rsid w:val="00CF0C24"/>
    <w:rsid w:val="00CF0E88"/>
    <w:rsid w:val="00CF1354"/>
    <w:rsid w:val="00CF1A0E"/>
    <w:rsid w:val="00CF2226"/>
    <w:rsid w:val="00CF2F64"/>
    <w:rsid w:val="00CF3072"/>
    <w:rsid w:val="00CF34DC"/>
    <w:rsid w:val="00CF37E3"/>
    <w:rsid w:val="00CF3A74"/>
    <w:rsid w:val="00CF5F2A"/>
    <w:rsid w:val="00CF618D"/>
    <w:rsid w:val="00CF6E21"/>
    <w:rsid w:val="00CF7EDB"/>
    <w:rsid w:val="00D0083C"/>
    <w:rsid w:val="00D00F8E"/>
    <w:rsid w:val="00D0137A"/>
    <w:rsid w:val="00D02974"/>
    <w:rsid w:val="00D03661"/>
    <w:rsid w:val="00D03DF5"/>
    <w:rsid w:val="00D04F3D"/>
    <w:rsid w:val="00D067EF"/>
    <w:rsid w:val="00D06EB9"/>
    <w:rsid w:val="00D0726F"/>
    <w:rsid w:val="00D07D9D"/>
    <w:rsid w:val="00D07EA7"/>
    <w:rsid w:val="00D1013C"/>
    <w:rsid w:val="00D10327"/>
    <w:rsid w:val="00D10F7F"/>
    <w:rsid w:val="00D125D2"/>
    <w:rsid w:val="00D12BB2"/>
    <w:rsid w:val="00D13413"/>
    <w:rsid w:val="00D13B47"/>
    <w:rsid w:val="00D140FD"/>
    <w:rsid w:val="00D144FD"/>
    <w:rsid w:val="00D15958"/>
    <w:rsid w:val="00D1623F"/>
    <w:rsid w:val="00D16542"/>
    <w:rsid w:val="00D16B74"/>
    <w:rsid w:val="00D17245"/>
    <w:rsid w:val="00D174FD"/>
    <w:rsid w:val="00D17F0C"/>
    <w:rsid w:val="00D20B9A"/>
    <w:rsid w:val="00D20D4E"/>
    <w:rsid w:val="00D219A9"/>
    <w:rsid w:val="00D21E39"/>
    <w:rsid w:val="00D228DB"/>
    <w:rsid w:val="00D228F7"/>
    <w:rsid w:val="00D25396"/>
    <w:rsid w:val="00D278CF"/>
    <w:rsid w:val="00D30477"/>
    <w:rsid w:val="00D31C8C"/>
    <w:rsid w:val="00D31DFF"/>
    <w:rsid w:val="00D32C69"/>
    <w:rsid w:val="00D32E56"/>
    <w:rsid w:val="00D33A08"/>
    <w:rsid w:val="00D33B5F"/>
    <w:rsid w:val="00D342C8"/>
    <w:rsid w:val="00D34BC2"/>
    <w:rsid w:val="00D35D15"/>
    <w:rsid w:val="00D37FCC"/>
    <w:rsid w:val="00D40834"/>
    <w:rsid w:val="00D41461"/>
    <w:rsid w:val="00D424E7"/>
    <w:rsid w:val="00D44BAF"/>
    <w:rsid w:val="00D454B2"/>
    <w:rsid w:val="00D455F1"/>
    <w:rsid w:val="00D45C42"/>
    <w:rsid w:val="00D45EC3"/>
    <w:rsid w:val="00D47089"/>
    <w:rsid w:val="00D4786B"/>
    <w:rsid w:val="00D47DB2"/>
    <w:rsid w:val="00D51484"/>
    <w:rsid w:val="00D5173D"/>
    <w:rsid w:val="00D52650"/>
    <w:rsid w:val="00D52C65"/>
    <w:rsid w:val="00D534BA"/>
    <w:rsid w:val="00D53667"/>
    <w:rsid w:val="00D53969"/>
    <w:rsid w:val="00D546A3"/>
    <w:rsid w:val="00D554A9"/>
    <w:rsid w:val="00D55A00"/>
    <w:rsid w:val="00D55F36"/>
    <w:rsid w:val="00D5699B"/>
    <w:rsid w:val="00D6185B"/>
    <w:rsid w:val="00D6210F"/>
    <w:rsid w:val="00D6265E"/>
    <w:rsid w:val="00D634F1"/>
    <w:rsid w:val="00D644C7"/>
    <w:rsid w:val="00D64B08"/>
    <w:rsid w:val="00D64D8D"/>
    <w:rsid w:val="00D64E7E"/>
    <w:rsid w:val="00D65292"/>
    <w:rsid w:val="00D65428"/>
    <w:rsid w:val="00D65565"/>
    <w:rsid w:val="00D65B63"/>
    <w:rsid w:val="00D66FC5"/>
    <w:rsid w:val="00D67D17"/>
    <w:rsid w:val="00D70F4C"/>
    <w:rsid w:val="00D710BB"/>
    <w:rsid w:val="00D71BE2"/>
    <w:rsid w:val="00D73783"/>
    <w:rsid w:val="00D75126"/>
    <w:rsid w:val="00D75E0C"/>
    <w:rsid w:val="00D76195"/>
    <w:rsid w:val="00D76DE6"/>
    <w:rsid w:val="00D80703"/>
    <w:rsid w:val="00D81468"/>
    <w:rsid w:val="00D830ED"/>
    <w:rsid w:val="00D83D94"/>
    <w:rsid w:val="00D841B9"/>
    <w:rsid w:val="00D86323"/>
    <w:rsid w:val="00D8670A"/>
    <w:rsid w:val="00D86A92"/>
    <w:rsid w:val="00D86B1A"/>
    <w:rsid w:val="00D87782"/>
    <w:rsid w:val="00D87A02"/>
    <w:rsid w:val="00D909F7"/>
    <w:rsid w:val="00D90A21"/>
    <w:rsid w:val="00D90A52"/>
    <w:rsid w:val="00D90CB1"/>
    <w:rsid w:val="00D929F2"/>
    <w:rsid w:val="00D92E14"/>
    <w:rsid w:val="00D92FA8"/>
    <w:rsid w:val="00D939F2"/>
    <w:rsid w:val="00D95390"/>
    <w:rsid w:val="00D9704B"/>
    <w:rsid w:val="00D9758B"/>
    <w:rsid w:val="00DA0640"/>
    <w:rsid w:val="00DA17A0"/>
    <w:rsid w:val="00DA2548"/>
    <w:rsid w:val="00DA36D4"/>
    <w:rsid w:val="00DA3EB5"/>
    <w:rsid w:val="00DA4BA9"/>
    <w:rsid w:val="00DA5209"/>
    <w:rsid w:val="00DA76B1"/>
    <w:rsid w:val="00DA794F"/>
    <w:rsid w:val="00DA7D4B"/>
    <w:rsid w:val="00DA7FC5"/>
    <w:rsid w:val="00DB09AC"/>
    <w:rsid w:val="00DB165B"/>
    <w:rsid w:val="00DB17FA"/>
    <w:rsid w:val="00DB24C8"/>
    <w:rsid w:val="00DB2848"/>
    <w:rsid w:val="00DB2A2A"/>
    <w:rsid w:val="00DB3C2A"/>
    <w:rsid w:val="00DB5B2D"/>
    <w:rsid w:val="00DB7694"/>
    <w:rsid w:val="00DC0F90"/>
    <w:rsid w:val="00DC1069"/>
    <w:rsid w:val="00DC10A7"/>
    <w:rsid w:val="00DC28E0"/>
    <w:rsid w:val="00DC2D79"/>
    <w:rsid w:val="00DC31C5"/>
    <w:rsid w:val="00DC35BE"/>
    <w:rsid w:val="00DC42C2"/>
    <w:rsid w:val="00DC4C44"/>
    <w:rsid w:val="00DC55E3"/>
    <w:rsid w:val="00DC5A9B"/>
    <w:rsid w:val="00DC632E"/>
    <w:rsid w:val="00DC7097"/>
    <w:rsid w:val="00DC7611"/>
    <w:rsid w:val="00DD1A87"/>
    <w:rsid w:val="00DD1C68"/>
    <w:rsid w:val="00DD209D"/>
    <w:rsid w:val="00DD2340"/>
    <w:rsid w:val="00DD2446"/>
    <w:rsid w:val="00DD2685"/>
    <w:rsid w:val="00DD39FE"/>
    <w:rsid w:val="00DD418A"/>
    <w:rsid w:val="00DD43FB"/>
    <w:rsid w:val="00DD4DFB"/>
    <w:rsid w:val="00DD5B7A"/>
    <w:rsid w:val="00DD6488"/>
    <w:rsid w:val="00DD6DF0"/>
    <w:rsid w:val="00DD7137"/>
    <w:rsid w:val="00DD7E39"/>
    <w:rsid w:val="00DE1468"/>
    <w:rsid w:val="00DE1FC5"/>
    <w:rsid w:val="00DE262B"/>
    <w:rsid w:val="00DE29E3"/>
    <w:rsid w:val="00DE309D"/>
    <w:rsid w:val="00DE3170"/>
    <w:rsid w:val="00DE4B41"/>
    <w:rsid w:val="00DE5809"/>
    <w:rsid w:val="00DE6078"/>
    <w:rsid w:val="00DE6D62"/>
    <w:rsid w:val="00DE7929"/>
    <w:rsid w:val="00DE7A50"/>
    <w:rsid w:val="00DF03FC"/>
    <w:rsid w:val="00DF0F9E"/>
    <w:rsid w:val="00DF141E"/>
    <w:rsid w:val="00DF1450"/>
    <w:rsid w:val="00DF1518"/>
    <w:rsid w:val="00DF23A9"/>
    <w:rsid w:val="00DF2E84"/>
    <w:rsid w:val="00DF4B23"/>
    <w:rsid w:val="00DF59A8"/>
    <w:rsid w:val="00DF799D"/>
    <w:rsid w:val="00E01419"/>
    <w:rsid w:val="00E01577"/>
    <w:rsid w:val="00E01617"/>
    <w:rsid w:val="00E01FDB"/>
    <w:rsid w:val="00E0213F"/>
    <w:rsid w:val="00E02332"/>
    <w:rsid w:val="00E02491"/>
    <w:rsid w:val="00E04505"/>
    <w:rsid w:val="00E050B5"/>
    <w:rsid w:val="00E051A6"/>
    <w:rsid w:val="00E063E0"/>
    <w:rsid w:val="00E07141"/>
    <w:rsid w:val="00E07438"/>
    <w:rsid w:val="00E1004C"/>
    <w:rsid w:val="00E10571"/>
    <w:rsid w:val="00E10663"/>
    <w:rsid w:val="00E11BC9"/>
    <w:rsid w:val="00E13C0A"/>
    <w:rsid w:val="00E14436"/>
    <w:rsid w:val="00E14C2A"/>
    <w:rsid w:val="00E15A51"/>
    <w:rsid w:val="00E1713D"/>
    <w:rsid w:val="00E2148C"/>
    <w:rsid w:val="00E21EE1"/>
    <w:rsid w:val="00E22648"/>
    <w:rsid w:val="00E22F38"/>
    <w:rsid w:val="00E22F44"/>
    <w:rsid w:val="00E237D7"/>
    <w:rsid w:val="00E23BA8"/>
    <w:rsid w:val="00E26255"/>
    <w:rsid w:val="00E27878"/>
    <w:rsid w:val="00E30848"/>
    <w:rsid w:val="00E318A8"/>
    <w:rsid w:val="00E31969"/>
    <w:rsid w:val="00E33085"/>
    <w:rsid w:val="00E3316B"/>
    <w:rsid w:val="00E33E5C"/>
    <w:rsid w:val="00E33E67"/>
    <w:rsid w:val="00E348A9"/>
    <w:rsid w:val="00E35F3A"/>
    <w:rsid w:val="00E3600E"/>
    <w:rsid w:val="00E36862"/>
    <w:rsid w:val="00E379A6"/>
    <w:rsid w:val="00E37A38"/>
    <w:rsid w:val="00E40036"/>
    <w:rsid w:val="00E40E28"/>
    <w:rsid w:val="00E43725"/>
    <w:rsid w:val="00E43B54"/>
    <w:rsid w:val="00E43CD1"/>
    <w:rsid w:val="00E45525"/>
    <w:rsid w:val="00E4684F"/>
    <w:rsid w:val="00E46C0C"/>
    <w:rsid w:val="00E506E1"/>
    <w:rsid w:val="00E50C26"/>
    <w:rsid w:val="00E5255D"/>
    <w:rsid w:val="00E55814"/>
    <w:rsid w:val="00E56254"/>
    <w:rsid w:val="00E56952"/>
    <w:rsid w:val="00E569C5"/>
    <w:rsid w:val="00E60C1E"/>
    <w:rsid w:val="00E61BC2"/>
    <w:rsid w:val="00E6275C"/>
    <w:rsid w:val="00E62FBE"/>
    <w:rsid w:val="00E63180"/>
    <w:rsid w:val="00E632AD"/>
    <w:rsid w:val="00E64AA3"/>
    <w:rsid w:val="00E65484"/>
    <w:rsid w:val="00E6664C"/>
    <w:rsid w:val="00E67B44"/>
    <w:rsid w:val="00E7132B"/>
    <w:rsid w:val="00E7176F"/>
    <w:rsid w:val="00E73075"/>
    <w:rsid w:val="00E740FD"/>
    <w:rsid w:val="00E74187"/>
    <w:rsid w:val="00E7503D"/>
    <w:rsid w:val="00E752C4"/>
    <w:rsid w:val="00E754E2"/>
    <w:rsid w:val="00E75D2D"/>
    <w:rsid w:val="00E75E81"/>
    <w:rsid w:val="00E75F64"/>
    <w:rsid w:val="00E76B66"/>
    <w:rsid w:val="00E777A5"/>
    <w:rsid w:val="00E82EA2"/>
    <w:rsid w:val="00E834BA"/>
    <w:rsid w:val="00E83CAB"/>
    <w:rsid w:val="00E85DE7"/>
    <w:rsid w:val="00E85F34"/>
    <w:rsid w:val="00E86AB7"/>
    <w:rsid w:val="00E86D85"/>
    <w:rsid w:val="00E8740E"/>
    <w:rsid w:val="00E90CB3"/>
    <w:rsid w:val="00E91477"/>
    <w:rsid w:val="00E9157C"/>
    <w:rsid w:val="00E9185F"/>
    <w:rsid w:val="00E920B8"/>
    <w:rsid w:val="00E9233D"/>
    <w:rsid w:val="00E92F76"/>
    <w:rsid w:val="00E9351C"/>
    <w:rsid w:val="00E93FFE"/>
    <w:rsid w:val="00E95A2E"/>
    <w:rsid w:val="00E97918"/>
    <w:rsid w:val="00E97C17"/>
    <w:rsid w:val="00EA04A5"/>
    <w:rsid w:val="00EA1372"/>
    <w:rsid w:val="00EA1C1B"/>
    <w:rsid w:val="00EA1D43"/>
    <w:rsid w:val="00EA340C"/>
    <w:rsid w:val="00EA5099"/>
    <w:rsid w:val="00EA5187"/>
    <w:rsid w:val="00EA5494"/>
    <w:rsid w:val="00EA5DB7"/>
    <w:rsid w:val="00EA5FE1"/>
    <w:rsid w:val="00EA65E2"/>
    <w:rsid w:val="00EA741C"/>
    <w:rsid w:val="00EB2C06"/>
    <w:rsid w:val="00EB3615"/>
    <w:rsid w:val="00EB400F"/>
    <w:rsid w:val="00EB4F71"/>
    <w:rsid w:val="00EB5373"/>
    <w:rsid w:val="00EB6237"/>
    <w:rsid w:val="00EB686F"/>
    <w:rsid w:val="00EB6DD1"/>
    <w:rsid w:val="00EB752F"/>
    <w:rsid w:val="00EB7CBA"/>
    <w:rsid w:val="00EC0B69"/>
    <w:rsid w:val="00EC0CE8"/>
    <w:rsid w:val="00EC1BFE"/>
    <w:rsid w:val="00EC5C89"/>
    <w:rsid w:val="00EC6F36"/>
    <w:rsid w:val="00EC704A"/>
    <w:rsid w:val="00EC74DC"/>
    <w:rsid w:val="00EC7D49"/>
    <w:rsid w:val="00ED1F5D"/>
    <w:rsid w:val="00ED2A83"/>
    <w:rsid w:val="00ED3232"/>
    <w:rsid w:val="00ED5BE6"/>
    <w:rsid w:val="00ED66D0"/>
    <w:rsid w:val="00ED68F5"/>
    <w:rsid w:val="00ED6DC3"/>
    <w:rsid w:val="00EE054E"/>
    <w:rsid w:val="00EE0957"/>
    <w:rsid w:val="00EE15EE"/>
    <w:rsid w:val="00EE16CE"/>
    <w:rsid w:val="00EE1998"/>
    <w:rsid w:val="00EE1DC4"/>
    <w:rsid w:val="00EE2E4D"/>
    <w:rsid w:val="00EE4A8D"/>
    <w:rsid w:val="00EE6603"/>
    <w:rsid w:val="00EE79B6"/>
    <w:rsid w:val="00EE7A30"/>
    <w:rsid w:val="00EF022E"/>
    <w:rsid w:val="00EF08E5"/>
    <w:rsid w:val="00EF20A4"/>
    <w:rsid w:val="00EF2179"/>
    <w:rsid w:val="00EF26B6"/>
    <w:rsid w:val="00EF3468"/>
    <w:rsid w:val="00EF3792"/>
    <w:rsid w:val="00EF3D67"/>
    <w:rsid w:val="00EF40B5"/>
    <w:rsid w:val="00EF47E8"/>
    <w:rsid w:val="00F012CF"/>
    <w:rsid w:val="00F0435E"/>
    <w:rsid w:val="00F04F38"/>
    <w:rsid w:val="00F05FE2"/>
    <w:rsid w:val="00F0616B"/>
    <w:rsid w:val="00F06BF7"/>
    <w:rsid w:val="00F06D38"/>
    <w:rsid w:val="00F0710E"/>
    <w:rsid w:val="00F07121"/>
    <w:rsid w:val="00F0751D"/>
    <w:rsid w:val="00F07BA2"/>
    <w:rsid w:val="00F10976"/>
    <w:rsid w:val="00F120AF"/>
    <w:rsid w:val="00F126B3"/>
    <w:rsid w:val="00F1282D"/>
    <w:rsid w:val="00F136EB"/>
    <w:rsid w:val="00F13B28"/>
    <w:rsid w:val="00F143D2"/>
    <w:rsid w:val="00F20026"/>
    <w:rsid w:val="00F20EAE"/>
    <w:rsid w:val="00F22249"/>
    <w:rsid w:val="00F22841"/>
    <w:rsid w:val="00F22A3D"/>
    <w:rsid w:val="00F22B72"/>
    <w:rsid w:val="00F22E93"/>
    <w:rsid w:val="00F22ED9"/>
    <w:rsid w:val="00F2462D"/>
    <w:rsid w:val="00F25874"/>
    <w:rsid w:val="00F26A96"/>
    <w:rsid w:val="00F26CC1"/>
    <w:rsid w:val="00F270D5"/>
    <w:rsid w:val="00F277A9"/>
    <w:rsid w:val="00F27A34"/>
    <w:rsid w:val="00F331AF"/>
    <w:rsid w:val="00F3330D"/>
    <w:rsid w:val="00F339F0"/>
    <w:rsid w:val="00F3514F"/>
    <w:rsid w:val="00F3518D"/>
    <w:rsid w:val="00F36B56"/>
    <w:rsid w:val="00F404C2"/>
    <w:rsid w:val="00F404E3"/>
    <w:rsid w:val="00F40AE8"/>
    <w:rsid w:val="00F41A97"/>
    <w:rsid w:val="00F41B15"/>
    <w:rsid w:val="00F4279A"/>
    <w:rsid w:val="00F430F1"/>
    <w:rsid w:val="00F4347C"/>
    <w:rsid w:val="00F436C8"/>
    <w:rsid w:val="00F438E2"/>
    <w:rsid w:val="00F44DAA"/>
    <w:rsid w:val="00F450A1"/>
    <w:rsid w:val="00F468F1"/>
    <w:rsid w:val="00F50C55"/>
    <w:rsid w:val="00F516E1"/>
    <w:rsid w:val="00F51846"/>
    <w:rsid w:val="00F51B37"/>
    <w:rsid w:val="00F54125"/>
    <w:rsid w:val="00F563CF"/>
    <w:rsid w:val="00F60026"/>
    <w:rsid w:val="00F605FB"/>
    <w:rsid w:val="00F60C72"/>
    <w:rsid w:val="00F61F21"/>
    <w:rsid w:val="00F6228B"/>
    <w:rsid w:val="00F62368"/>
    <w:rsid w:val="00F62698"/>
    <w:rsid w:val="00F62ED9"/>
    <w:rsid w:val="00F63E7B"/>
    <w:rsid w:val="00F650B6"/>
    <w:rsid w:val="00F66E36"/>
    <w:rsid w:val="00F66F59"/>
    <w:rsid w:val="00F66FB7"/>
    <w:rsid w:val="00F7156E"/>
    <w:rsid w:val="00F717C2"/>
    <w:rsid w:val="00F72010"/>
    <w:rsid w:val="00F73195"/>
    <w:rsid w:val="00F73297"/>
    <w:rsid w:val="00F733F1"/>
    <w:rsid w:val="00F742AD"/>
    <w:rsid w:val="00F74A2E"/>
    <w:rsid w:val="00F7509D"/>
    <w:rsid w:val="00F75476"/>
    <w:rsid w:val="00F75A33"/>
    <w:rsid w:val="00F75A53"/>
    <w:rsid w:val="00F761E9"/>
    <w:rsid w:val="00F765F5"/>
    <w:rsid w:val="00F7734D"/>
    <w:rsid w:val="00F7781B"/>
    <w:rsid w:val="00F80FEB"/>
    <w:rsid w:val="00F8192F"/>
    <w:rsid w:val="00F819BC"/>
    <w:rsid w:val="00F83311"/>
    <w:rsid w:val="00F842C0"/>
    <w:rsid w:val="00F858AB"/>
    <w:rsid w:val="00F85BC0"/>
    <w:rsid w:val="00F85E2B"/>
    <w:rsid w:val="00F85EC4"/>
    <w:rsid w:val="00F860B6"/>
    <w:rsid w:val="00F864D3"/>
    <w:rsid w:val="00F867E4"/>
    <w:rsid w:val="00F87D04"/>
    <w:rsid w:val="00F87F52"/>
    <w:rsid w:val="00F9091B"/>
    <w:rsid w:val="00F90D22"/>
    <w:rsid w:val="00F91369"/>
    <w:rsid w:val="00F93E6A"/>
    <w:rsid w:val="00F943E6"/>
    <w:rsid w:val="00F94A61"/>
    <w:rsid w:val="00F94B8B"/>
    <w:rsid w:val="00F9628F"/>
    <w:rsid w:val="00FA08F9"/>
    <w:rsid w:val="00FA0DBD"/>
    <w:rsid w:val="00FA270F"/>
    <w:rsid w:val="00FA4D48"/>
    <w:rsid w:val="00FA57E2"/>
    <w:rsid w:val="00FA5B41"/>
    <w:rsid w:val="00FA61FD"/>
    <w:rsid w:val="00FB08E5"/>
    <w:rsid w:val="00FB0E26"/>
    <w:rsid w:val="00FB125F"/>
    <w:rsid w:val="00FB204F"/>
    <w:rsid w:val="00FB2C52"/>
    <w:rsid w:val="00FB3ACA"/>
    <w:rsid w:val="00FB4EC4"/>
    <w:rsid w:val="00FB53BB"/>
    <w:rsid w:val="00FB55FB"/>
    <w:rsid w:val="00FB5D7D"/>
    <w:rsid w:val="00FB6D65"/>
    <w:rsid w:val="00FB759C"/>
    <w:rsid w:val="00FB7959"/>
    <w:rsid w:val="00FB7E57"/>
    <w:rsid w:val="00FC05D3"/>
    <w:rsid w:val="00FC0733"/>
    <w:rsid w:val="00FC14CC"/>
    <w:rsid w:val="00FC24AC"/>
    <w:rsid w:val="00FC2D6E"/>
    <w:rsid w:val="00FC2EA8"/>
    <w:rsid w:val="00FC3880"/>
    <w:rsid w:val="00FC3CB4"/>
    <w:rsid w:val="00FC4007"/>
    <w:rsid w:val="00FC43A0"/>
    <w:rsid w:val="00FC43CE"/>
    <w:rsid w:val="00FC58B6"/>
    <w:rsid w:val="00FC7262"/>
    <w:rsid w:val="00FC750D"/>
    <w:rsid w:val="00FD13ED"/>
    <w:rsid w:val="00FD1AAA"/>
    <w:rsid w:val="00FD1DF4"/>
    <w:rsid w:val="00FD3709"/>
    <w:rsid w:val="00FD571F"/>
    <w:rsid w:val="00FD59D1"/>
    <w:rsid w:val="00FD61F5"/>
    <w:rsid w:val="00FD6CF4"/>
    <w:rsid w:val="00FD6F46"/>
    <w:rsid w:val="00FD73E0"/>
    <w:rsid w:val="00FD7AA0"/>
    <w:rsid w:val="00FE0E45"/>
    <w:rsid w:val="00FE1BF9"/>
    <w:rsid w:val="00FE2230"/>
    <w:rsid w:val="00FE2B5D"/>
    <w:rsid w:val="00FE36D6"/>
    <w:rsid w:val="00FE4477"/>
    <w:rsid w:val="00FE6332"/>
    <w:rsid w:val="00FE72AF"/>
    <w:rsid w:val="00FF008A"/>
    <w:rsid w:val="00FF041C"/>
    <w:rsid w:val="00FF0539"/>
    <w:rsid w:val="00FF089B"/>
    <w:rsid w:val="00FF1F5C"/>
    <w:rsid w:val="00FF21EB"/>
    <w:rsid w:val="00FF2EB4"/>
    <w:rsid w:val="00FF681B"/>
    <w:rsid w:val="00FF6EA6"/>
    <w:rsid w:val="00FF7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F5B0"/>
  <w15:docId w15:val="{8F1EFF8F-C07E-4849-A05C-B055055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A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C6961"/>
    <w:pPr>
      <w:keepNext/>
      <w:jc w:val="center"/>
      <w:outlineLvl w:val="0"/>
    </w:pPr>
    <w:rPr>
      <w:b/>
      <w:bCs/>
      <w:lang w:eastAsia="pl-PL"/>
    </w:rPr>
  </w:style>
  <w:style w:type="paragraph" w:styleId="Titre2">
    <w:name w:val="heading 2"/>
    <w:basedOn w:val="Normal"/>
    <w:next w:val="Normal"/>
    <w:link w:val="Titre2Car"/>
    <w:qFormat/>
    <w:rsid w:val="007C6961"/>
    <w:pPr>
      <w:keepNext/>
      <w:tabs>
        <w:tab w:val="left" w:pos="0"/>
        <w:tab w:val="left" w:pos="4677"/>
        <w:tab w:val="left" w:pos="9351"/>
      </w:tabs>
      <w:jc w:val="center"/>
      <w:outlineLvl w:val="1"/>
    </w:pPr>
    <w:rPr>
      <w:rFonts w:ascii="Arial Narrow" w:hAnsi="Arial Narrow"/>
      <w:b/>
      <w:bCs/>
      <w:color w:val="000000"/>
      <w:szCs w:val="22"/>
      <w:u w:val="single"/>
    </w:rPr>
  </w:style>
  <w:style w:type="paragraph" w:styleId="Titre3">
    <w:name w:val="heading 3"/>
    <w:basedOn w:val="Normal"/>
    <w:next w:val="Normal"/>
    <w:link w:val="Titre3Car"/>
    <w:qFormat/>
    <w:rsid w:val="007C6961"/>
    <w:pPr>
      <w:keepNext/>
      <w:ind w:left="57"/>
      <w:jc w:val="both"/>
      <w:outlineLvl w:val="2"/>
    </w:pPr>
    <w:rPr>
      <w:rFonts w:ascii="Arial Narrow" w:hAnsi="Arial Narrow"/>
      <w:i/>
      <w:iCs/>
      <w:szCs w:val="22"/>
    </w:rPr>
  </w:style>
  <w:style w:type="paragraph" w:styleId="Titre4">
    <w:name w:val="heading 4"/>
    <w:basedOn w:val="Normal"/>
    <w:next w:val="Normal"/>
    <w:link w:val="Titre4Car"/>
    <w:qFormat/>
    <w:rsid w:val="007C6961"/>
    <w:pPr>
      <w:keepNext/>
      <w:jc w:val="both"/>
      <w:outlineLvl w:val="3"/>
    </w:pPr>
    <w:rPr>
      <w:rFonts w:ascii="Arial Narrow" w:hAnsi="Arial Narrow"/>
      <w:i/>
      <w:iCs/>
      <w:szCs w:val="22"/>
    </w:rPr>
  </w:style>
  <w:style w:type="paragraph" w:styleId="Titre5">
    <w:name w:val="heading 5"/>
    <w:basedOn w:val="Normal"/>
    <w:next w:val="Normal"/>
    <w:link w:val="Titre5Car"/>
    <w:qFormat/>
    <w:rsid w:val="007C6961"/>
    <w:pPr>
      <w:keepNext/>
      <w:tabs>
        <w:tab w:val="left" w:pos="0"/>
        <w:tab w:val="left" w:pos="4677"/>
        <w:tab w:val="left" w:pos="9351"/>
      </w:tabs>
      <w:jc w:val="center"/>
      <w:outlineLvl w:val="4"/>
    </w:pPr>
    <w:rPr>
      <w:rFonts w:ascii="Arial Narrow" w:hAnsi="Arial Narrow"/>
      <w:b/>
      <w:bCs/>
      <w:color w:val="000000"/>
      <w:szCs w:val="22"/>
    </w:rPr>
  </w:style>
  <w:style w:type="paragraph" w:styleId="Titre6">
    <w:name w:val="heading 6"/>
    <w:basedOn w:val="Normal"/>
    <w:next w:val="Normal"/>
    <w:link w:val="Titre6Car"/>
    <w:qFormat/>
    <w:rsid w:val="007C6961"/>
    <w:pPr>
      <w:keepNext/>
      <w:ind w:left="627"/>
      <w:jc w:val="both"/>
      <w:outlineLvl w:val="5"/>
    </w:pPr>
    <w:rPr>
      <w:rFonts w:ascii="Arial Narrow" w:hAnsi="Arial Narrow"/>
      <w:szCs w:val="22"/>
    </w:rPr>
  </w:style>
  <w:style w:type="paragraph" w:styleId="Titre7">
    <w:name w:val="heading 7"/>
    <w:basedOn w:val="Normal"/>
    <w:next w:val="Normal"/>
    <w:link w:val="Titre7Car"/>
    <w:qFormat/>
    <w:rsid w:val="007C6961"/>
    <w:pPr>
      <w:keepNext/>
      <w:numPr>
        <w:numId w:val="1"/>
      </w:numPr>
      <w:tabs>
        <w:tab w:val="clear" w:pos="720"/>
      </w:tabs>
      <w:ind w:left="570" w:hanging="570"/>
      <w:jc w:val="both"/>
      <w:outlineLvl w:val="6"/>
    </w:pPr>
    <w:rPr>
      <w:rFonts w:ascii="Arial Narrow" w:hAnsi="Arial Narrow"/>
      <w:b/>
      <w:u w:val="single"/>
    </w:rPr>
  </w:style>
  <w:style w:type="paragraph" w:styleId="Titre8">
    <w:name w:val="heading 8"/>
    <w:basedOn w:val="Normal"/>
    <w:next w:val="Normal"/>
    <w:link w:val="Titre8Car"/>
    <w:qFormat/>
    <w:rsid w:val="007C6961"/>
    <w:pPr>
      <w:keepNext/>
      <w:ind w:left="566"/>
      <w:jc w:val="both"/>
      <w:outlineLvl w:val="7"/>
    </w:pPr>
    <w:rPr>
      <w:rFonts w:ascii="Arial Narrow" w:hAnsi="Arial Narrow"/>
      <w:b/>
      <w:bCs/>
      <w:color w:val="000000"/>
      <w:szCs w:val="22"/>
    </w:rPr>
  </w:style>
  <w:style w:type="paragraph" w:styleId="Titre9">
    <w:name w:val="heading 9"/>
    <w:basedOn w:val="Normal"/>
    <w:next w:val="Normal"/>
    <w:link w:val="Titre9Car"/>
    <w:qFormat/>
    <w:rsid w:val="007C6961"/>
    <w:pPr>
      <w:keepNext/>
      <w:suppressAutoHyphens/>
      <w:jc w:val="center"/>
      <w:outlineLvl w:val="8"/>
    </w:pPr>
    <w:rPr>
      <w:rFonts w:ascii="Verdana" w:hAnsi="Verdana"/>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6961"/>
    <w:rPr>
      <w:rFonts w:ascii="Times New Roman" w:eastAsia="Times New Roman" w:hAnsi="Times New Roman" w:cs="Times New Roman"/>
      <w:b/>
      <w:bCs/>
      <w:sz w:val="24"/>
      <w:szCs w:val="24"/>
      <w:lang w:val="nl-NL" w:eastAsia="pl-PL"/>
    </w:rPr>
  </w:style>
  <w:style w:type="character" w:customStyle="1" w:styleId="Titre2Car">
    <w:name w:val="Titre 2 Car"/>
    <w:basedOn w:val="Policepardfaut"/>
    <w:link w:val="Titre2"/>
    <w:rsid w:val="007C6961"/>
    <w:rPr>
      <w:rFonts w:ascii="Arial Narrow" w:eastAsia="Times New Roman" w:hAnsi="Arial Narrow" w:cs="Times New Roman"/>
      <w:b/>
      <w:bCs/>
      <w:color w:val="000000"/>
      <w:sz w:val="24"/>
      <w:u w:val="single"/>
      <w:lang w:val="nl-NL" w:eastAsia="fr-FR"/>
    </w:rPr>
  </w:style>
  <w:style w:type="character" w:customStyle="1" w:styleId="Titre3Car">
    <w:name w:val="Titre 3 Car"/>
    <w:basedOn w:val="Policepardfaut"/>
    <w:link w:val="Titre3"/>
    <w:rsid w:val="007C6961"/>
    <w:rPr>
      <w:rFonts w:ascii="Arial Narrow" w:eastAsia="Times New Roman" w:hAnsi="Arial Narrow" w:cs="Times New Roman"/>
      <w:i/>
      <w:iCs/>
      <w:sz w:val="24"/>
      <w:lang w:val="nl-NL" w:eastAsia="fr-FR"/>
    </w:rPr>
  </w:style>
  <w:style w:type="character" w:customStyle="1" w:styleId="Titre4Car">
    <w:name w:val="Titre 4 Car"/>
    <w:basedOn w:val="Policepardfaut"/>
    <w:link w:val="Titre4"/>
    <w:rsid w:val="007C6961"/>
    <w:rPr>
      <w:rFonts w:ascii="Arial Narrow" w:eastAsia="Times New Roman" w:hAnsi="Arial Narrow" w:cs="Times New Roman"/>
      <w:i/>
      <w:iCs/>
      <w:sz w:val="24"/>
      <w:lang w:val="nl-NL" w:eastAsia="fr-FR"/>
    </w:rPr>
  </w:style>
  <w:style w:type="character" w:customStyle="1" w:styleId="Titre5Car">
    <w:name w:val="Titre 5 Car"/>
    <w:basedOn w:val="Policepardfaut"/>
    <w:link w:val="Titre5"/>
    <w:rsid w:val="007C6961"/>
    <w:rPr>
      <w:rFonts w:ascii="Arial Narrow" w:eastAsia="Times New Roman" w:hAnsi="Arial Narrow" w:cs="Times New Roman"/>
      <w:b/>
      <w:bCs/>
      <w:color w:val="000000"/>
      <w:sz w:val="24"/>
      <w:lang w:val="nl-NL" w:eastAsia="fr-FR"/>
    </w:rPr>
  </w:style>
  <w:style w:type="character" w:customStyle="1" w:styleId="Titre6Car">
    <w:name w:val="Titre 6 Car"/>
    <w:basedOn w:val="Policepardfaut"/>
    <w:link w:val="Titre6"/>
    <w:rsid w:val="007C6961"/>
    <w:rPr>
      <w:rFonts w:ascii="Arial Narrow" w:eastAsia="Times New Roman" w:hAnsi="Arial Narrow" w:cs="Times New Roman"/>
      <w:sz w:val="24"/>
      <w:lang w:val="nl-NL" w:eastAsia="fr-FR"/>
    </w:rPr>
  </w:style>
  <w:style w:type="character" w:customStyle="1" w:styleId="Titre7Car">
    <w:name w:val="Titre 7 Car"/>
    <w:basedOn w:val="Policepardfaut"/>
    <w:link w:val="Titre7"/>
    <w:rsid w:val="007C6961"/>
    <w:rPr>
      <w:rFonts w:ascii="Arial Narrow" w:eastAsia="Times New Roman" w:hAnsi="Arial Narrow" w:cs="Times New Roman"/>
      <w:b/>
      <w:sz w:val="24"/>
      <w:szCs w:val="24"/>
      <w:u w:val="single"/>
      <w:lang w:val="nl-NL" w:eastAsia="fr-FR"/>
    </w:rPr>
  </w:style>
  <w:style w:type="character" w:customStyle="1" w:styleId="Titre8Car">
    <w:name w:val="Titre 8 Car"/>
    <w:basedOn w:val="Policepardfaut"/>
    <w:link w:val="Titre8"/>
    <w:rsid w:val="007C6961"/>
    <w:rPr>
      <w:rFonts w:ascii="Arial Narrow" w:eastAsia="Times New Roman" w:hAnsi="Arial Narrow" w:cs="Times New Roman"/>
      <w:b/>
      <w:bCs/>
      <w:color w:val="000000"/>
      <w:sz w:val="24"/>
      <w:lang w:val="nl-NL" w:eastAsia="fr-FR"/>
    </w:rPr>
  </w:style>
  <w:style w:type="character" w:customStyle="1" w:styleId="Titre9Car">
    <w:name w:val="Titre 9 Car"/>
    <w:basedOn w:val="Policepardfaut"/>
    <w:link w:val="Titre9"/>
    <w:rsid w:val="007C6961"/>
    <w:rPr>
      <w:rFonts w:ascii="Verdana" w:eastAsia="Times New Roman" w:hAnsi="Verdana" w:cs="Times New Roman"/>
      <w:b/>
      <w:bCs/>
      <w:sz w:val="28"/>
      <w:szCs w:val="24"/>
      <w:u w:val="single"/>
      <w:lang w:val="nl-NL" w:eastAsia="fr-FR"/>
    </w:rPr>
  </w:style>
  <w:style w:type="paragraph" w:styleId="En-tte">
    <w:name w:val="header"/>
    <w:basedOn w:val="Normal"/>
    <w:link w:val="En-tteCar"/>
    <w:rsid w:val="007C6961"/>
    <w:pPr>
      <w:tabs>
        <w:tab w:val="center" w:pos="4536"/>
        <w:tab w:val="right" w:pos="9072"/>
      </w:tabs>
    </w:pPr>
    <w:rPr>
      <w:lang w:eastAsia="pl-PL"/>
    </w:rPr>
  </w:style>
  <w:style w:type="character" w:customStyle="1" w:styleId="En-tteCar">
    <w:name w:val="En-tête Car"/>
    <w:basedOn w:val="Policepardfaut"/>
    <w:link w:val="En-tte"/>
    <w:rsid w:val="007C6961"/>
    <w:rPr>
      <w:rFonts w:ascii="Times New Roman" w:eastAsia="Times New Roman" w:hAnsi="Times New Roman" w:cs="Times New Roman"/>
      <w:sz w:val="24"/>
      <w:szCs w:val="24"/>
      <w:lang w:val="nl-NL" w:eastAsia="pl-PL"/>
    </w:rPr>
  </w:style>
  <w:style w:type="paragraph" w:customStyle="1" w:styleId="question">
    <w:name w:val="question"/>
    <w:basedOn w:val="Normal"/>
    <w:rsid w:val="007C6961"/>
    <w:pPr>
      <w:numPr>
        <w:numId w:val="2"/>
      </w:numPr>
      <w:jc w:val="both"/>
    </w:pPr>
    <w:rPr>
      <w:rFonts w:ascii="Arial Narrow" w:hAnsi="Arial Narrow"/>
      <w:szCs w:val="20"/>
      <w:lang w:eastAsia="en-US"/>
    </w:rPr>
  </w:style>
  <w:style w:type="paragraph" w:styleId="Pieddepage">
    <w:name w:val="footer"/>
    <w:basedOn w:val="Normal"/>
    <w:link w:val="PieddepageCar"/>
    <w:uiPriority w:val="99"/>
    <w:rsid w:val="007C6961"/>
    <w:pPr>
      <w:tabs>
        <w:tab w:val="center" w:pos="4320"/>
        <w:tab w:val="right" w:pos="8640"/>
      </w:tabs>
    </w:pPr>
  </w:style>
  <w:style w:type="character" w:customStyle="1" w:styleId="PieddepageCar">
    <w:name w:val="Pied de page Car"/>
    <w:basedOn w:val="Policepardfaut"/>
    <w:link w:val="Pieddepage"/>
    <w:uiPriority w:val="99"/>
    <w:rsid w:val="007C6961"/>
    <w:rPr>
      <w:rFonts w:ascii="Times New Roman" w:eastAsia="Times New Roman" w:hAnsi="Times New Roman" w:cs="Times New Roman"/>
      <w:sz w:val="24"/>
      <w:szCs w:val="24"/>
      <w:lang w:val="nl-NL" w:eastAsia="fr-FR"/>
    </w:rPr>
  </w:style>
  <w:style w:type="character" w:styleId="Appelnotedebasdep">
    <w:name w:val="footnote reference"/>
    <w:aliases w:val="fr"/>
    <w:uiPriority w:val="99"/>
    <w:rsid w:val="007C6961"/>
    <w:rPr>
      <w:vertAlign w:val="superscript"/>
    </w:rPr>
  </w:style>
  <w:style w:type="character" w:styleId="Numrodepage">
    <w:name w:val="page number"/>
    <w:basedOn w:val="Policepardfaut"/>
    <w:uiPriority w:val="99"/>
    <w:rsid w:val="007C6961"/>
  </w:style>
  <w:style w:type="paragraph" w:styleId="Notedebasdepage">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NotedebasdepageCar"/>
    <w:uiPriority w:val="99"/>
    <w:rsid w:val="007C6961"/>
    <w:pPr>
      <w:autoSpaceDE w:val="0"/>
      <w:autoSpaceDN w:val="0"/>
      <w:adjustRightInd w:val="0"/>
    </w:pPr>
    <w:rPr>
      <w:sz w:val="20"/>
      <w:szCs w:val="20"/>
      <w:lang w:eastAsia="en-US"/>
    </w:rPr>
  </w:style>
  <w:style w:type="character" w:customStyle="1" w:styleId="NotedebasdepageCar">
    <w:name w:val="Note de bas de page Car"/>
    <w:aliases w:val="Footnote Text Char2 Car,Footnote Text Char1 Char Car,Footnote Text Char3 Char Char Car,Footnote Text Char2 Char Char Char Car,Footnote Text Char1 Char1 Char Char Char Car,ft Char1 Char Char Char Char Car,ft Car"/>
    <w:basedOn w:val="Policepardfaut"/>
    <w:link w:val="Notedebasdepage"/>
    <w:uiPriority w:val="99"/>
    <w:rsid w:val="007C6961"/>
    <w:rPr>
      <w:rFonts w:ascii="Times New Roman" w:eastAsia="Times New Roman" w:hAnsi="Times New Roman" w:cs="Times New Roman"/>
      <w:sz w:val="20"/>
      <w:szCs w:val="20"/>
    </w:rPr>
  </w:style>
  <w:style w:type="character" w:styleId="Lienhypertexte">
    <w:name w:val="Hyperlink"/>
    <w:uiPriority w:val="99"/>
    <w:rsid w:val="007C6961"/>
    <w:rPr>
      <w:color w:val="0000FF"/>
      <w:u w:val="single"/>
    </w:rPr>
  </w:style>
  <w:style w:type="paragraph" w:styleId="Corpsdetexte">
    <w:name w:val="Body Text"/>
    <w:aliases w:val="b"/>
    <w:basedOn w:val="Normal"/>
    <w:link w:val="CorpsdetexteCar"/>
    <w:rsid w:val="007C6961"/>
    <w:pPr>
      <w:spacing w:line="300" w:lineRule="auto"/>
      <w:jc w:val="both"/>
    </w:pPr>
    <w:rPr>
      <w:rFonts w:ascii="CG Times" w:hAnsi="CG Times"/>
      <w:szCs w:val="20"/>
      <w:lang w:eastAsia="da-DK"/>
    </w:rPr>
  </w:style>
  <w:style w:type="character" w:customStyle="1" w:styleId="CorpsdetexteCar">
    <w:name w:val="Corps de texte Car"/>
    <w:aliases w:val="b Car"/>
    <w:basedOn w:val="Policepardfaut"/>
    <w:link w:val="Corpsdetexte"/>
    <w:rsid w:val="007C6961"/>
    <w:rPr>
      <w:rFonts w:ascii="CG Times" w:eastAsia="Times New Roman" w:hAnsi="CG Times" w:cs="Times New Roman"/>
      <w:sz w:val="24"/>
      <w:szCs w:val="20"/>
      <w:lang w:val="nl-NL" w:eastAsia="da-DK"/>
    </w:rPr>
  </w:style>
  <w:style w:type="character" w:styleId="Lienhypertextesuivivisit">
    <w:name w:val="FollowedHyperlink"/>
    <w:rsid w:val="007C6961"/>
    <w:rPr>
      <w:color w:val="800080"/>
      <w:u w:val="single"/>
    </w:rPr>
  </w:style>
  <w:style w:type="paragraph" w:styleId="NormalWeb">
    <w:name w:val="Normal (Web)"/>
    <w:basedOn w:val="Normal"/>
    <w:rsid w:val="007C6961"/>
    <w:pPr>
      <w:spacing w:before="100" w:beforeAutospacing="1" w:after="100" w:afterAutospacing="1"/>
    </w:pPr>
    <w:rPr>
      <w:color w:val="000000"/>
      <w:lang w:eastAsia="en-US"/>
    </w:rPr>
  </w:style>
  <w:style w:type="character" w:styleId="lev">
    <w:name w:val="Strong"/>
    <w:qFormat/>
    <w:rsid w:val="007C6961"/>
    <w:rPr>
      <w:b/>
      <w:bCs/>
    </w:rPr>
  </w:style>
  <w:style w:type="paragraph" w:styleId="Retraitcorpsdetexte2">
    <w:name w:val="Body Text Indent 2"/>
    <w:basedOn w:val="Normal"/>
    <w:link w:val="Retraitcorpsdetexte2Car"/>
    <w:rsid w:val="007C6961"/>
    <w:pPr>
      <w:numPr>
        <w:ilvl w:val="12"/>
      </w:numPr>
      <w:overflowPunct w:val="0"/>
      <w:autoSpaceDE w:val="0"/>
      <w:autoSpaceDN w:val="0"/>
      <w:adjustRightInd w:val="0"/>
      <w:ind w:firstLine="708"/>
      <w:jc w:val="both"/>
      <w:textAlignment w:val="baseline"/>
    </w:pPr>
    <w:rPr>
      <w:rFonts w:ascii="Arial" w:hAnsi="Arial" w:cs="Arial"/>
      <w:b/>
      <w:szCs w:val="20"/>
      <w:lang w:eastAsia="cs-CZ"/>
    </w:rPr>
  </w:style>
  <w:style w:type="character" w:customStyle="1" w:styleId="Retraitcorpsdetexte2Car">
    <w:name w:val="Retrait corps de texte 2 Car"/>
    <w:basedOn w:val="Policepardfaut"/>
    <w:link w:val="Retraitcorpsdetexte2"/>
    <w:rsid w:val="007C6961"/>
    <w:rPr>
      <w:rFonts w:ascii="Arial" w:eastAsia="Times New Roman" w:hAnsi="Arial" w:cs="Arial"/>
      <w:b/>
      <w:sz w:val="24"/>
      <w:szCs w:val="20"/>
      <w:lang w:val="nl-NL" w:eastAsia="cs-CZ"/>
    </w:rPr>
  </w:style>
  <w:style w:type="paragraph" w:styleId="Corpsdetexte3">
    <w:name w:val="Body Text 3"/>
    <w:basedOn w:val="Normal"/>
    <w:link w:val="Corpsdetexte3Car"/>
    <w:rsid w:val="007C6961"/>
    <w:pPr>
      <w:overflowPunct w:val="0"/>
      <w:autoSpaceDE w:val="0"/>
      <w:autoSpaceDN w:val="0"/>
      <w:adjustRightInd w:val="0"/>
      <w:textAlignment w:val="baseline"/>
    </w:pPr>
    <w:rPr>
      <w:rFonts w:ascii="Arial" w:hAnsi="Arial" w:cs="Arial"/>
      <w:sz w:val="20"/>
      <w:szCs w:val="20"/>
      <w:lang w:eastAsia="cs-CZ"/>
    </w:rPr>
  </w:style>
  <w:style w:type="character" w:customStyle="1" w:styleId="Corpsdetexte3Car">
    <w:name w:val="Corps de texte 3 Car"/>
    <w:basedOn w:val="Policepardfaut"/>
    <w:link w:val="Corpsdetexte3"/>
    <w:rsid w:val="007C6961"/>
    <w:rPr>
      <w:rFonts w:ascii="Arial" w:eastAsia="Times New Roman" w:hAnsi="Arial" w:cs="Arial"/>
      <w:sz w:val="20"/>
      <w:szCs w:val="20"/>
      <w:lang w:val="nl-NL" w:eastAsia="cs-CZ"/>
    </w:rPr>
  </w:style>
  <w:style w:type="paragraph" w:styleId="Retraitcorpsdetexte3">
    <w:name w:val="Body Text Indent 3"/>
    <w:basedOn w:val="Normal"/>
    <w:link w:val="Retraitcorpsdetexte3Car"/>
    <w:rsid w:val="007C6961"/>
    <w:pPr>
      <w:numPr>
        <w:ilvl w:val="12"/>
      </w:numPr>
      <w:overflowPunct w:val="0"/>
      <w:autoSpaceDE w:val="0"/>
      <w:autoSpaceDN w:val="0"/>
      <w:adjustRightInd w:val="0"/>
      <w:ind w:firstLine="708"/>
      <w:jc w:val="both"/>
      <w:textAlignment w:val="baseline"/>
    </w:pPr>
    <w:rPr>
      <w:rFonts w:ascii="Arial" w:hAnsi="Arial" w:cs="Arial"/>
      <w:szCs w:val="20"/>
      <w:lang w:eastAsia="cs-CZ"/>
    </w:rPr>
  </w:style>
  <w:style w:type="character" w:customStyle="1" w:styleId="Retraitcorpsdetexte3Car">
    <w:name w:val="Retrait corps de texte 3 Car"/>
    <w:basedOn w:val="Policepardfaut"/>
    <w:link w:val="Retraitcorpsdetexte3"/>
    <w:rsid w:val="007C6961"/>
    <w:rPr>
      <w:rFonts w:ascii="Arial" w:eastAsia="Times New Roman" w:hAnsi="Arial" w:cs="Arial"/>
      <w:sz w:val="24"/>
      <w:szCs w:val="20"/>
      <w:lang w:val="nl-NL" w:eastAsia="cs-CZ"/>
    </w:rPr>
  </w:style>
  <w:style w:type="paragraph" w:styleId="Corpsdetexte2">
    <w:name w:val="Body Text 2"/>
    <w:basedOn w:val="Normal"/>
    <w:link w:val="Corpsdetexte2Car"/>
    <w:rsid w:val="007C6961"/>
    <w:pPr>
      <w:tabs>
        <w:tab w:val="left" w:pos="-1440"/>
        <w:tab w:val="left" w:pos="-864"/>
        <w:tab w:val="left" w:pos="-432"/>
        <w:tab w:val="left" w:pos="0"/>
        <w:tab w:val="left" w:pos="432"/>
        <w:tab w:val="left" w:pos="1296"/>
        <w:tab w:val="left" w:pos="1728"/>
        <w:tab w:val="left" w:pos="2160"/>
      </w:tabs>
      <w:suppressAutoHyphens/>
      <w:ind w:right="-306"/>
      <w:jc w:val="both"/>
    </w:pPr>
    <w:rPr>
      <w:rFonts w:ascii="Arial Narrow" w:hAnsi="Arial Narrow"/>
    </w:rPr>
  </w:style>
  <w:style w:type="character" w:customStyle="1" w:styleId="Corpsdetexte2Car">
    <w:name w:val="Corps de texte 2 Car"/>
    <w:basedOn w:val="Policepardfaut"/>
    <w:link w:val="Corpsdetexte2"/>
    <w:rsid w:val="007C6961"/>
    <w:rPr>
      <w:rFonts w:ascii="Arial Narrow" w:eastAsia="Times New Roman" w:hAnsi="Arial Narrow" w:cs="Times New Roman"/>
      <w:sz w:val="24"/>
      <w:szCs w:val="24"/>
      <w:lang w:val="nl-NL" w:eastAsia="fr-FR"/>
    </w:rPr>
  </w:style>
  <w:style w:type="paragraph" w:customStyle="1" w:styleId="Zkladntextb">
    <w:name w:val="Základní text.b"/>
    <w:basedOn w:val="Normal"/>
    <w:rsid w:val="007C6961"/>
    <w:pPr>
      <w:jc w:val="both"/>
    </w:pPr>
    <w:rPr>
      <w:rFonts w:ascii="Arial" w:hAnsi="Arial"/>
      <w:b/>
      <w:szCs w:val="20"/>
      <w:lang w:eastAsia="cs-CZ"/>
    </w:rPr>
  </w:style>
  <w:style w:type="paragraph" w:styleId="Notedefin">
    <w:name w:val="endnote text"/>
    <w:basedOn w:val="Normal"/>
    <w:link w:val="NotedefinCar"/>
    <w:semiHidden/>
    <w:rsid w:val="007C6961"/>
    <w:pPr>
      <w:jc w:val="both"/>
    </w:pPr>
    <w:rPr>
      <w:rFonts w:ascii="Arial" w:hAnsi="Arial"/>
      <w:sz w:val="20"/>
      <w:szCs w:val="20"/>
      <w:lang w:eastAsia="cs-CZ"/>
    </w:rPr>
  </w:style>
  <w:style w:type="character" w:customStyle="1" w:styleId="NotedefinCar">
    <w:name w:val="Note de fin Car"/>
    <w:basedOn w:val="Policepardfaut"/>
    <w:link w:val="Notedefin"/>
    <w:semiHidden/>
    <w:rsid w:val="007C6961"/>
    <w:rPr>
      <w:rFonts w:ascii="Arial" w:eastAsia="Times New Roman" w:hAnsi="Arial" w:cs="Times New Roman"/>
      <w:sz w:val="20"/>
      <w:szCs w:val="20"/>
      <w:lang w:val="nl-NL" w:eastAsia="cs-CZ"/>
    </w:rPr>
  </w:style>
  <w:style w:type="paragraph" w:styleId="Retraitcorpsdetexte">
    <w:name w:val="Body Text Indent"/>
    <w:basedOn w:val="Normal"/>
    <w:link w:val="RetraitcorpsdetexteCar"/>
    <w:rsid w:val="007C6961"/>
    <w:pPr>
      <w:numPr>
        <w:ilvl w:val="12"/>
      </w:numPr>
      <w:overflowPunct w:val="0"/>
      <w:autoSpaceDE w:val="0"/>
      <w:autoSpaceDN w:val="0"/>
      <w:adjustRightInd w:val="0"/>
      <w:ind w:firstLine="567"/>
      <w:jc w:val="both"/>
      <w:textAlignment w:val="baseline"/>
    </w:pPr>
    <w:rPr>
      <w:rFonts w:ascii="Arial" w:hAnsi="Arial" w:cs="Arial"/>
      <w:szCs w:val="20"/>
      <w:lang w:eastAsia="cs-CZ"/>
    </w:rPr>
  </w:style>
  <w:style w:type="character" w:customStyle="1" w:styleId="RetraitcorpsdetexteCar">
    <w:name w:val="Retrait corps de texte Car"/>
    <w:basedOn w:val="Policepardfaut"/>
    <w:link w:val="Retraitcorpsdetexte"/>
    <w:rsid w:val="007C6961"/>
    <w:rPr>
      <w:rFonts w:ascii="Arial" w:eastAsia="Times New Roman" w:hAnsi="Arial" w:cs="Arial"/>
      <w:sz w:val="24"/>
      <w:szCs w:val="20"/>
      <w:lang w:val="nl-NL" w:eastAsia="cs-CZ"/>
    </w:rPr>
  </w:style>
  <w:style w:type="paragraph" w:customStyle="1" w:styleId="H4">
    <w:name w:val="H4"/>
    <w:basedOn w:val="Normal"/>
    <w:next w:val="Normal"/>
    <w:rsid w:val="007C6961"/>
    <w:pPr>
      <w:keepNext/>
      <w:spacing w:before="100" w:after="100"/>
    </w:pPr>
    <w:rPr>
      <w:rFonts w:ascii="Arial" w:hAnsi="Arial"/>
      <w:b/>
      <w:szCs w:val="20"/>
      <w:lang w:eastAsia="cs-CZ"/>
    </w:rPr>
  </w:style>
  <w:style w:type="paragraph" w:customStyle="1" w:styleId="traduction">
    <w:name w:val="traduction"/>
    <w:basedOn w:val="En-tte"/>
    <w:rsid w:val="007C6961"/>
    <w:pPr>
      <w:tabs>
        <w:tab w:val="clear" w:pos="4536"/>
        <w:tab w:val="clear" w:pos="9072"/>
      </w:tabs>
    </w:pPr>
    <w:rPr>
      <w:szCs w:val="20"/>
      <w:lang w:eastAsia="en-US"/>
    </w:rPr>
  </w:style>
  <w:style w:type="paragraph" w:customStyle="1" w:styleId="Normalrappo">
    <w:name w:val="Normal rappo"/>
    <w:rsid w:val="007C6961"/>
    <w:pPr>
      <w:widowControl w:val="0"/>
      <w:tabs>
        <w:tab w:val="left" w:pos="-720"/>
      </w:tabs>
      <w:suppressAutoHyphens/>
      <w:spacing w:after="0" w:line="240" w:lineRule="auto"/>
      <w:jc w:val="both"/>
    </w:pPr>
    <w:rPr>
      <w:rFonts w:ascii="Univers" w:eastAsia="Times New Roman" w:hAnsi="Univers" w:cs="Times New Roman"/>
      <w:snapToGrid w:val="0"/>
      <w:spacing w:val="-3"/>
      <w:sz w:val="24"/>
      <w:szCs w:val="20"/>
    </w:rPr>
  </w:style>
  <w:style w:type="paragraph" w:styleId="Textedebulles">
    <w:name w:val="Balloon Text"/>
    <w:basedOn w:val="Normal"/>
    <w:link w:val="TextedebullesCar"/>
    <w:semiHidden/>
    <w:rsid w:val="007C6961"/>
    <w:rPr>
      <w:rFonts w:ascii="Tahoma" w:hAnsi="Tahoma" w:cs="Tahoma"/>
      <w:sz w:val="16"/>
      <w:szCs w:val="16"/>
    </w:rPr>
  </w:style>
  <w:style w:type="character" w:customStyle="1" w:styleId="TextedebullesCar">
    <w:name w:val="Texte de bulles Car"/>
    <w:basedOn w:val="Policepardfaut"/>
    <w:link w:val="Textedebulles"/>
    <w:semiHidden/>
    <w:rsid w:val="007C6961"/>
    <w:rPr>
      <w:rFonts w:ascii="Tahoma" w:eastAsia="Times New Roman" w:hAnsi="Tahoma" w:cs="Tahoma"/>
      <w:sz w:val="16"/>
      <w:szCs w:val="16"/>
      <w:lang w:val="nl-NL" w:eastAsia="fr-FR"/>
    </w:rPr>
  </w:style>
  <w:style w:type="character" w:styleId="Marquedecommentaire">
    <w:name w:val="annotation reference"/>
    <w:semiHidden/>
    <w:rsid w:val="007C6961"/>
    <w:rPr>
      <w:sz w:val="16"/>
      <w:szCs w:val="16"/>
    </w:rPr>
  </w:style>
  <w:style w:type="paragraph" w:styleId="Commentaire">
    <w:name w:val="annotation text"/>
    <w:basedOn w:val="Normal"/>
    <w:link w:val="CommentaireCar"/>
    <w:semiHidden/>
    <w:rsid w:val="007C6961"/>
    <w:rPr>
      <w:sz w:val="20"/>
      <w:szCs w:val="20"/>
    </w:rPr>
  </w:style>
  <w:style w:type="character" w:customStyle="1" w:styleId="CommentaireCar">
    <w:name w:val="Commentaire Car"/>
    <w:basedOn w:val="Policepardfaut"/>
    <w:link w:val="Commentaire"/>
    <w:semiHidden/>
    <w:rsid w:val="007C6961"/>
    <w:rPr>
      <w:rFonts w:ascii="Times New Roman" w:eastAsia="Times New Roman" w:hAnsi="Times New Roman" w:cs="Times New Roman"/>
      <w:sz w:val="20"/>
      <w:szCs w:val="20"/>
      <w:lang w:val="nl-NL" w:eastAsia="fr-FR"/>
    </w:rPr>
  </w:style>
  <w:style w:type="paragraph" w:styleId="Objetducommentaire">
    <w:name w:val="annotation subject"/>
    <w:basedOn w:val="Commentaire"/>
    <w:next w:val="Commentaire"/>
    <w:link w:val="ObjetducommentaireCar"/>
    <w:semiHidden/>
    <w:rsid w:val="007C6961"/>
    <w:rPr>
      <w:b/>
      <w:bCs/>
    </w:rPr>
  </w:style>
  <w:style w:type="character" w:customStyle="1" w:styleId="ObjetducommentaireCar">
    <w:name w:val="Objet du commentaire Car"/>
    <w:basedOn w:val="CommentaireCar"/>
    <w:link w:val="Objetducommentaire"/>
    <w:semiHidden/>
    <w:rsid w:val="007C6961"/>
    <w:rPr>
      <w:rFonts w:ascii="Times New Roman" w:eastAsia="Times New Roman" w:hAnsi="Times New Roman" w:cs="Times New Roman"/>
      <w:b/>
      <w:bCs/>
      <w:sz w:val="20"/>
      <w:szCs w:val="20"/>
      <w:lang w:val="nl-NL" w:eastAsia="fr-FR"/>
    </w:rPr>
  </w:style>
  <w:style w:type="paragraph" w:customStyle="1" w:styleId="CarCharCarCharCarCharCarCharCarCharCarCharCharCharChar">
    <w:name w:val="Car Char Car Char Car Char Car Char Car Char Car Char Char Char Char"/>
    <w:basedOn w:val="Normal"/>
    <w:rsid w:val="007C6961"/>
    <w:pPr>
      <w:spacing w:after="160" w:line="240" w:lineRule="exact"/>
    </w:pPr>
    <w:rPr>
      <w:rFonts w:ascii="Arial" w:hAnsi="Arial" w:cs="Arial"/>
      <w:sz w:val="20"/>
      <w:szCs w:val="20"/>
      <w:lang w:eastAsia="en-US"/>
    </w:rPr>
  </w:style>
  <w:style w:type="paragraph" w:customStyle="1" w:styleId="EBBodyPara">
    <w:name w:val="EBBodyPara"/>
    <w:basedOn w:val="Normal"/>
    <w:rsid w:val="007C6961"/>
    <w:pPr>
      <w:tabs>
        <w:tab w:val="left" w:pos="284"/>
        <w:tab w:val="left" w:pos="567"/>
        <w:tab w:val="left" w:pos="851"/>
      </w:tabs>
      <w:spacing w:after="120"/>
    </w:pPr>
    <w:rPr>
      <w:rFonts w:ascii="Arial" w:eastAsia="SimSun" w:hAnsi="Arial"/>
      <w:lang w:eastAsia="zh-CN"/>
    </w:rPr>
  </w:style>
  <w:style w:type="paragraph" w:styleId="Signaturelectronique">
    <w:name w:val="E-mail Signature"/>
    <w:basedOn w:val="Normal"/>
    <w:link w:val="SignaturelectroniqueCar"/>
    <w:rsid w:val="007C6961"/>
    <w:rPr>
      <w:lang w:eastAsia="en-US"/>
    </w:rPr>
  </w:style>
  <w:style w:type="character" w:customStyle="1" w:styleId="SignaturelectroniqueCar">
    <w:name w:val="Signature électronique Car"/>
    <w:basedOn w:val="Policepardfaut"/>
    <w:link w:val="Signaturelectronique"/>
    <w:rsid w:val="007C6961"/>
    <w:rPr>
      <w:rFonts w:ascii="Times New Roman" w:eastAsia="Times New Roman" w:hAnsi="Times New Roman" w:cs="Times New Roman"/>
      <w:sz w:val="24"/>
      <w:szCs w:val="24"/>
    </w:rPr>
  </w:style>
  <w:style w:type="paragraph" w:styleId="Paragraphedeliste">
    <w:name w:val="List Paragraph"/>
    <w:basedOn w:val="Normal"/>
    <w:uiPriority w:val="34"/>
    <w:qFormat/>
    <w:rsid w:val="007C6961"/>
    <w:pPr>
      <w:ind w:left="720"/>
    </w:pPr>
  </w:style>
  <w:style w:type="paragraph" w:customStyle="1" w:styleId="textojustificado1">
    <w:name w:val="textojustificado1"/>
    <w:basedOn w:val="Normal"/>
    <w:rsid w:val="007C6961"/>
    <w:pPr>
      <w:spacing w:before="100" w:beforeAutospacing="1" w:after="100" w:afterAutospacing="1"/>
    </w:pPr>
    <w:rPr>
      <w:rFonts w:ascii="Arial" w:hAnsi="Arial" w:cs="Arial"/>
      <w:lang w:eastAsia="pt-PT"/>
    </w:rPr>
  </w:style>
  <w:style w:type="paragraph" w:styleId="Titre">
    <w:name w:val="Title"/>
    <w:basedOn w:val="Normal"/>
    <w:next w:val="Normal"/>
    <w:link w:val="TitreCar"/>
    <w:uiPriority w:val="99"/>
    <w:qFormat/>
    <w:rsid w:val="00A07082"/>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reCar">
    <w:name w:val="Titre Car"/>
    <w:basedOn w:val="Policepardfaut"/>
    <w:link w:val="Titre"/>
    <w:uiPriority w:val="99"/>
    <w:rsid w:val="00A07082"/>
    <w:rPr>
      <w:rFonts w:ascii="Cambria" w:eastAsia="Times New Roman" w:hAnsi="Cambria" w:cs="Times New Roman"/>
      <w:color w:val="17365D"/>
      <w:spacing w:val="5"/>
      <w:kern w:val="28"/>
      <w:sz w:val="52"/>
      <w:szCs w:val="52"/>
      <w:lang w:eastAsia="ja-JP"/>
    </w:rPr>
  </w:style>
  <w:style w:type="paragraph" w:styleId="Rvision">
    <w:name w:val="Revision"/>
    <w:hidden/>
    <w:uiPriority w:val="99"/>
    <w:semiHidden/>
    <w:rsid w:val="00FC14CC"/>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B7755"/>
    <w:rPr>
      <w:color w:val="808080"/>
    </w:rPr>
  </w:style>
  <w:style w:type="character" w:customStyle="1" w:styleId="UnresolvedMention1">
    <w:name w:val="Unresolved Mention1"/>
    <w:basedOn w:val="Policepardfaut"/>
    <w:uiPriority w:val="99"/>
    <w:semiHidden/>
    <w:unhideWhenUsed/>
    <w:rsid w:val="00A477DE"/>
    <w:rPr>
      <w:color w:val="605E5C"/>
      <w:shd w:val="clear" w:color="auto" w:fill="E1DFDD"/>
    </w:rPr>
  </w:style>
  <w:style w:type="paragraph" w:styleId="Textebrut">
    <w:name w:val="Plain Text"/>
    <w:basedOn w:val="Normal"/>
    <w:link w:val="TextebrutCar"/>
    <w:uiPriority w:val="99"/>
    <w:semiHidden/>
    <w:unhideWhenUsed/>
    <w:rsid w:val="006E77DD"/>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6E77DD"/>
    <w:rPr>
      <w:rFonts w:ascii="Calibri" w:hAnsi="Calibri"/>
      <w:szCs w:val="21"/>
    </w:rPr>
  </w:style>
  <w:style w:type="paragraph" w:customStyle="1" w:styleId="Default">
    <w:name w:val="Default"/>
    <w:rsid w:val="00D33A08"/>
    <w:pPr>
      <w:autoSpaceDE w:val="0"/>
      <w:autoSpaceDN w:val="0"/>
      <w:adjustRightInd w:val="0"/>
      <w:spacing w:after="0" w:line="240" w:lineRule="auto"/>
    </w:pPr>
    <w:rPr>
      <w:rFonts w:ascii="Verdana" w:hAnsi="Verdana" w:cs="Verdana"/>
      <w:color w:val="000000"/>
      <w:sz w:val="24"/>
      <w:szCs w:val="24"/>
    </w:rPr>
  </w:style>
  <w:style w:type="character" w:customStyle="1" w:styleId="UnresolvedMention2">
    <w:name w:val="Unresolved Mention2"/>
    <w:basedOn w:val="Policepardfaut"/>
    <w:uiPriority w:val="99"/>
    <w:semiHidden/>
    <w:unhideWhenUsed/>
    <w:rsid w:val="00D3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4001">
      <w:bodyDiv w:val="1"/>
      <w:marLeft w:val="0"/>
      <w:marRight w:val="0"/>
      <w:marTop w:val="0"/>
      <w:marBottom w:val="0"/>
      <w:divBdr>
        <w:top w:val="none" w:sz="0" w:space="0" w:color="auto"/>
        <w:left w:val="none" w:sz="0" w:space="0" w:color="auto"/>
        <w:bottom w:val="none" w:sz="0" w:space="0" w:color="auto"/>
        <w:right w:val="none" w:sz="0" w:space="0" w:color="auto"/>
      </w:divBdr>
    </w:div>
    <w:div w:id="543519209">
      <w:bodyDiv w:val="1"/>
      <w:marLeft w:val="0"/>
      <w:marRight w:val="0"/>
      <w:marTop w:val="0"/>
      <w:marBottom w:val="0"/>
      <w:divBdr>
        <w:top w:val="none" w:sz="0" w:space="0" w:color="auto"/>
        <w:left w:val="none" w:sz="0" w:space="0" w:color="auto"/>
        <w:bottom w:val="none" w:sz="0" w:space="0" w:color="auto"/>
        <w:right w:val="none" w:sz="0" w:space="0" w:color="auto"/>
      </w:divBdr>
    </w:div>
    <w:div w:id="822893076">
      <w:bodyDiv w:val="1"/>
      <w:marLeft w:val="0"/>
      <w:marRight w:val="0"/>
      <w:marTop w:val="0"/>
      <w:marBottom w:val="0"/>
      <w:divBdr>
        <w:top w:val="none" w:sz="0" w:space="0" w:color="auto"/>
        <w:left w:val="none" w:sz="0" w:space="0" w:color="auto"/>
        <w:bottom w:val="none" w:sz="0" w:space="0" w:color="auto"/>
        <w:right w:val="none" w:sz="0" w:space="0" w:color="auto"/>
      </w:divBdr>
    </w:div>
    <w:div w:id="1165048252">
      <w:bodyDiv w:val="1"/>
      <w:marLeft w:val="0"/>
      <w:marRight w:val="0"/>
      <w:marTop w:val="0"/>
      <w:marBottom w:val="0"/>
      <w:divBdr>
        <w:top w:val="none" w:sz="0" w:space="0" w:color="auto"/>
        <w:left w:val="none" w:sz="0" w:space="0" w:color="auto"/>
        <w:bottom w:val="none" w:sz="0" w:space="0" w:color="auto"/>
        <w:right w:val="none" w:sz="0" w:space="0" w:color="auto"/>
      </w:divBdr>
    </w:div>
    <w:div w:id="1526865606">
      <w:bodyDiv w:val="1"/>
      <w:marLeft w:val="0"/>
      <w:marRight w:val="0"/>
      <w:marTop w:val="0"/>
      <w:marBottom w:val="0"/>
      <w:divBdr>
        <w:top w:val="none" w:sz="0" w:space="0" w:color="auto"/>
        <w:left w:val="none" w:sz="0" w:space="0" w:color="auto"/>
        <w:bottom w:val="none" w:sz="0" w:space="0" w:color="auto"/>
        <w:right w:val="none" w:sz="0" w:space="0" w:color="auto"/>
      </w:divBdr>
    </w:div>
    <w:div w:id="1760833738">
      <w:bodyDiv w:val="1"/>
      <w:marLeft w:val="0"/>
      <w:marRight w:val="0"/>
      <w:marTop w:val="0"/>
      <w:marBottom w:val="0"/>
      <w:divBdr>
        <w:top w:val="none" w:sz="0" w:space="0" w:color="auto"/>
        <w:left w:val="none" w:sz="0" w:space="0" w:color="auto"/>
        <w:bottom w:val="none" w:sz="0" w:space="0" w:color="auto"/>
        <w:right w:val="none" w:sz="0" w:space="0" w:color="auto"/>
      </w:divBdr>
    </w:div>
    <w:div w:id="1894612264">
      <w:bodyDiv w:val="1"/>
      <w:marLeft w:val="0"/>
      <w:marRight w:val="0"/>
      <w:marTop w:val="0"/>
      <w:marBottom w:val="0"/>
      <w:divBdr>
        <w:top w:val="none" w:sz="0" w:space="0" w:color="auto"/>
        <w:left w:val="none" w:sz="0" w:space="0" w:color="auto"/>
        <w:bottom w:val="none" w:sz="0" w:space="0" w:color="auto"/>
        <w:right w:val="none" w:sz="0" w:space="0" w:color="auto"/>
      </w:divBdr>
    </w:div>
    <w:div w:id="21188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m.coe.int/quatrieme-cycle-d-evaluation-prevention-de-la-corruption-des-parlement/16807be49b"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16806ee29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rm.coe.int/16806c2c3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rm.coe.int/quatrieme-cycle-d-evaluation-prevention-de-la-corruption-des-parlement/1680a25b4e"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570430A-7BCB-4A20-A6E7-896B128A2F53}"/>
      </w:docPartPr>
      <w:docPartBody>
        <w:p w:rsidR="008B1F72" w:rsidRDefault="00495AF4">
          <w:r w:rsidRPr="00476EA0">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ecommend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4"/>
    <w:rsid w:val="000270BF"/>
    <w:rsid w:val="000B403E"/>
    <w:rsid w:val="00197200"/>
    <w:rsid w:val="001C55B3"/>
    <w:rsid w:val="002F3B10"/>
    <w:rsid w:val="00363B91"/>
    <w:rsid w:val="003A5A57"/>
    <w:rsid w:val="004948EF"/>
    <w:rsid w:val="00495AF4"/>
    <w:rsid w:val="004C23A2"/>
    <w:rsid w:val="00540C14"/>
    <w:rsid w:val="00617C04"/>
    <w:rsid w:val="006E4A2F"/>
    <w:rsid w:val="006E6C5B"/>
    <w:rsid w:val="007206FF"/>
    <w:rsid w:val="00761702"/>
    <w:rsid w:val="007D4693"/>
    <w:rsid w:val="00815F9A"/>
    <w:rsid w:val="0082062A"/>
    <w:rsid w:val="0084254E"/>
    <w:rsid w:val="008763B0"/>
    <w:rsid w:val="008B06E1"/>
    <w:rsid w:val="008B1F72"/>
    <w:rsid w:val="008B4BA1"/>
    <w:rsid w:val="009702B4"/>
    <w:rsid w:val="009C54CE"/>
    <w:rsid w:val="009E1309"/>
    <w:rsid w:val="009F4754"/>
    <w:rsid w:val="00AF0E83"/>
    <w:rsid w:val="00B0400C"/>
    <w:rsid w:val="00B06F27"/>
    <w:rsid w:val="00B362E4"/>
    <w:rsid w:val="00B83B4E"/>
    <w:rsid w:val="00BE3CB7"/>
    <w:rsid w:val="00BE5609"/>
    <w:rsid w:val="00D86B76"/>
    <w:rsid w:val="00DB15AB"/>
    <w:rsid w:val="00DE7A06"/>
    <w:rsid w:val="00DF369F"/>
    <w:rsid w:val="00E11798"/>
    <w:rsid w:val="00E60620"/>
    <w:rsid w:val="00E63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5A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eHudocSection Guid="{51E2A9FF-BD06-46A0-BC5B-14F989985BFE}">
  <SectionPage>3/3</SectionPage>
  <ContextSectionTitle/>
  <SectionTitle>III. CONCLUSIONS</SectionTitle>
</CoeHudocSec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eHudocSection Guid="{942782EC-0D92-4A18-89E2-B04C6EEE14C3}">
  <ContextSectionTitle/>
  <SectionTitle>I. INTRODUCTION</SectionTitle>
  <SectionPage>1/3</SectionPage>
</CoeHudocSection>
</file>

<file path=customXml/item4.xml><?xml version="1.0" encoding="utf-8"?>
<CoeHudocDocument>
  <Author>GRECO</Author>
  <DocumentTitle>Deuxième rapport de conformité intérimaire du 4e Cycle d'évaluation sur la Belgique</DocumentTitle>
  <ShortTitle>Deuxième rapport de conformité intérimaire du 4e Cycle d'évaluation sur la Belgique</ShortTitle>
  <Language>FRE</Language>
  <AdoptionDate>2019-06-21</AdoptionDate>
  <PublicationDate>2019-09-11</PublicationDate>
  <State>BEL</State>
  <Round>4</Round>
  <DocumentType>CR</DocumentType>
  <Identifier>BEL-CR-4--FRE</Identifier>
</CoeHudocDocument>
</file>

<file path=customXml/item5.xml><?xml version="1.0" encoding="utf-8"?>
<CoeHudocSection Guid="{32DBF20F-D404-4B6F-A380-980A6CE00354}">
  <ContextSectionTitle/>
  <SectionTitle>II. ANALYSE</SectionTitle>
  <SectionPage>2/3</SectionPage>
</CoeHudocSec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5A70B7803F408418C9F254CADC740F5" ma:contentTypeVersion="4" ma:contentTypeDescription="Create a new document." ma:contentTypeScope="" ma:versionID="75ac4e1e41722456b9e633c1d17bdeea">
  <xsd:schema xmlns:xsd="http://www.w3.org/2001/XMLSchema" xmlns:xs="http://www.w3.org/2001/XMLSchema" xmlns:p="http://schemas.microsoft.com/office/2006/metadata/properties" xmlns:ns3="1a2e2502-4335-4fc6-951e-186ea0d7380f" targetNamespace="http://schemas.microsoft.com/office/2006/metadata/properties" ma:root="true" ma:fieldsID="cda7744e8c663d159915dae8f7c4c9ad" ns3:_="">
    <xsd:import namespace="1a2e2502-4335-4fc6-951e-186ea0d738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2502-4335-4fc6-951e-186ea0d73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A9FF-BD06-46A0-BC5B-14F989985BFE}">
  <ds:schemaRefs/>
</ds:datastoreItem>
</file>

<file path=customXml/itemProps2.xml><?xml version="1.0" encoding="utf-8"?>
<ds:datastoreItem xmlns:ds="http://schemas.openxmlformats.org/officeDocument/2006/customXml" ds:itemID="{3FC59F8F-96F8-4700-A480-B3D5273D2045}">
  <ds:schemaRefs>
    <ds:schemaRef ds:uri="http://schemas.microsoft.com/sharepoint/v3/contenttype/forms"/>
  </ds:schemaRefs>
</ds:datastoreItem>
</file>

<file path=customXml/itemProps3.xml><?xml version="1.0" encoding="utf-8"?>
<ds:datastoreItem xmlns:ds="http://schemas.openxmlformats.org/officeDocument/2006/customXml" ds:itemID="{942782EC-0D92-4A18-89E2-B04C6EEE14C3}">
  <ds:schemaRefs/>
</ds:datastoreItem>
</file>

<file path=customXml/itemProps4.xml><?xml version="1.0" encoding="utf-8"?>
<ds:datastoreItem xmlns:ds="http://schemas.openxmlformats.org/officeDocument/2006/customXml" ds:itemID="{612D500B-2AD6-47EA-B6C9-C185C5509859}">
  <ds:schemaRefs/>
</ds:datastoreItem>
</file>

<file path=customXml/itemProps5.xml><?xml version="1.0" encoding="utf-8"?>
<ds:datastoreItem xmlns:ds="http://schemas.openxmlformats.org/officeDocument/2006/customXml" ds:itemID="{32DBF20F-D404-4B6F-A380-980A6CE00354}">
  <ds:schemaRefs/>
</ds:datastoreItem>
</file>

<file path=customXml/itemProps6.xml><?xml version="1.0" encoding="utf-8"?>
<ds:datastoreItem xmlns:ds="http://schemas.openxmlformats.org/officeDocument/2006/customXml" ds:itemID="{3B1AA3C0-FB26-489F-BD42-7D94FBCBAF6A}">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8787253-A20A-4438-9246-D43479E3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2502-4335-4fc6-951e-186ea0d7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0B44368-6031-4541-A016-0FD2AF09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4857</Words>
  <Characters>27689</Characters>
  <Application>Microsoft Office Word</Application>
  <DocSecurity>0</DocSecurity>
  <Lines>230</Lines>
  <Paragraphs>64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GRECO</vt:lpstr>
      <vt:lpstr>GRECO</vt:lpstr>
      <vt:lpstr>GRECO</vt:lpstr>
    </vt:vector>
  </TitlesOfParts>
  <Company>Council of Europe</Company>
  <LinksUpToDate>false</LinksUpToDate>
  <CharactersWithSpaces>32482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GRECO</dc:creator>
  <cp:keywords>GRECO</cp:keywords>
  <cp:lastModifiedBy>Parrondo Ramos Ricardo</cp:lastModifiedBy>
  <cp:revision>15</cp:revision>
  <cp:lastPrinted>2022-06-13T08:45:00Z</cp:lastPrinted>
  <dcterms:created xsi:type="dcterms:W3CDTF">2022-06-28T09:33:00Z</dcterms:created>
  <dcterms:modified xsi:type="dcterms:W3CDTF">2022-08-22T11:35:00Z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0x01010085A70B7803F408418C9F254CADC740F5</vt:lpwstr>
  </property>
</Properties>
</file>